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73" w:rsidRDefault="00AA4F73" w:rsidP="00AA4F73">
      <w:pPr>
        <w:jc w:val="center"/>
        <w:rPr>
          <w:rFonts w:ascii="华文中宋" w:eastAsia="华文中宋" w:hAnsi="华文中宋"/>
          <w:b/>
          <w:sz w:val="32"/>
          <w:szCs w:val="32"/>
        </w:rPr>
      </w:pPr>
      <w:r>
        <w:rPr>
          <w:rFonts w:ascii="华文中宋" w:eastAsia="华文中宋" w:hAnsi="华文中宋" w:hint="eastAsia"/>
          <w:b/>
          <w:sz w:val="32"/>
          <w:szCs w:val="32"/>
        </w:rPr>
        <w:t>采矿工程专业毕业生用人单位调查问卷结果统计</w:t>
      </w:r>
    </w:p>
    <w:p w:rsidR="00AA4F73" w:rsidRDefault="00AA4F73" w:rsidP="00AA4F73">
      <w:pPr>
        <w:rPr>
          <w:rFonts w:hint="eastAsia"/>
          <w:b/>
          <w:sz w:val="24"/>
        </w:rPr>
      </w:pPr>
    </w:p>
    <w:p w:rsidR="00A9610C" w:rsidRDefault="00AA4F73" w:rsidP="00AA4F73">
      <w:pPr>
        <w:spacing w:line="360" w:lineRule="auto"/>
        <w:ind w:firstLineChars="245" w:firstLine="588"/>
        <w:rPr>
          <w:rFonts w:hint="eastAsia"/>
          <w:sz w:val="24"/>
        </w:rPr>
      </w:pPr>
      <w:r w:rsidRPr="00AA4F73">
        <w:rPr>
          <w:sz w:val="24"/>
        </w:rPr>
        <w:t>201</w:t>
      </w:r>
      <w:r w:rsidRPr="00AA4F73">
        <w:rPr>
          <w:rFonts w:hint="eastAsia"/>
          <w:sz w:val="24"/>
        </w:rPr>
        <w:t>7</w:t>
      </w:r>
      <w:r w:rsidRPr="00AA4F73">
        <w:rPr>
          <w:rFonts w:hint="eastAsia"/>
          <w:sz w:val="24"/>
        </w:rPr>
        <w:t>年</w:t>
      </w:r>
      <w:r w:rsidRPr="00AA4F73">
        <w:rPr>
          <w:rFonts w:hint="eastAsia"/>
          <w:sz w:val="24"/>
        </w:rPr>
        <w:t>3</w:t>
      </w:r>
      <w:r w:rsidRPr="00AA4F73">
        <w:rPr>
          <w:rFonts w:hint="eastAsia"/>
          <w:sz w:val="24"/>
        </w:rPr>
        <w:t>月</w:t>
      </w:r>
      <w:r w:rsidRPr="00AA4F73">
        <w:rPr>
          <w:rFonts w:hint="eastAsia"/>
          <w:sz w:val="24"/>
        </w:rPr>
        <w:t>27</w:t>
      </w:r>
      <w:r w:rsidRPr="00AA4F73">
        <w:rPr>
          <w:rFonts w:hint="eastAsia"/>
          <w:sz w:val="24"/>
        </w:rPr>
        <w:t>日，对采矿工程专业毕业生用人单位进行了问卷调查。共收回问卷</w:t>
      </w:r>
      <w:r w:rsidRPr="00AA4F73">
        <w:rPr>
          <w:rFonts w:hint="eastAsia"/>
          <w:sz w:val="24"/>
        </w:rPr>
        <w:t>17</w:t>
      </w:r>
      <w:r w:rsidRPr="00AA4F73">
        <w:rPr>
          <w:rFonts w:hint="eastAsia"/>
          <w:sz w:val="24"/>
        </w:rPr>
        <w:t>份。</w:t>
      </w:r>
      <w:r w:rsidR="000C01AB">
        <w:rPr>
          <w:rFonts w:hint="eastAsia"/>
          <w:sz w:val="24"/>
        </w:rPr>
        <w:t>参与调查的用人单位对采矿工程毕业生的核心能力重要性的认同程度和毕业生的表现进行了评价，评价内容涉及</w:t>
      </w:r>
      <w:r w:rsidR="000C01AB">
        <w:rPr>
          <w:rFonts w:hint="eastAsia"/>
          <w:sz w:val="24"/>
        </w:rPr>
        <w:t>12</w:t>
      </w:r>
      <w:r w:rsidR="000C01AB">
        <w:rPr>
          <w:rFonts w:hint="eastAsia"/>
          <w:sz w:val="24"/>
        </w:rPr>
        <w:t>个方面，</w:t>
      </w:r>
      <w:r w:rsidR="000C01AB" w:rsidRPr="000C01AB">
        <w:rPr>
          <w:rFonts w:hint="eastAsia"/>
          <w:sz w:val="24"/>
        </w:rPr>
        <w:t>每道问题的统计结果如下</w:t>
      </w:r>
      <w:r w:rsidR="000C01AB">
        <w:rPr>
          <w:rFonts w:hint="eastAsia"/>
          <w:sz w:val="24"/>
        </w:rPr>
        <w:t>：</w:t>
      </w:r>
    </w:p>
    <w:p w:rsidR="000C01AB" w:rsidRDefault="000C01AB" w:rsidP="000C01AB">
      <w:pPr>
        <w:spacing w:line="360" w:lineRule="auto"/>
        <w:ind w:firstLineChars="245" w:firstLine="514"/>
        <w:rPr>
          <w:rFonts w:hint="eastAsia"/>
          <w:sz w:val="24"/>
        </w:rPr>
      </w:pPr>
      <w:r>
        <w:rPr>
          <w:noProof/>
        </w:rPr>
        <w:drawing>
          <wp:inline distT="0" distB="0" distL="0" distR="0" wp14:anchorId="3026412D" wp14:editId="625E3FEA">
            <wp:extent cx="4772025" cy="30099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01AB" w:rsidRDefault="000C01AB" w:rsidP="000C01AB">
      <w:pPr>
        <w:spacing w:line="360" w:lineRule="auto"/>
        <w:ind w:firstLineChars="245" w:firstLine="514"/>
        <w:rPr>
          <w:rFonts w:hint="eastAsia"/>
          <w:sz w:val="24"/>
        </w:rPr>
      </w:pPr>
      <w:r>
        <w:rPr>
          <w:noProof/>
        </w:rPr>
        <w:drawing>
          <wp:inline distT="0" distB="0" distL="0" distR="0" wp14:anchorId="79C136C9" wp14:editId="684FA0DA">
            <wp:extent cx="4772025" cy="28575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C01AB" w:rsidRDefault="000C5870" w:rsidP="000C01AB">
      <w:pPr>
        <w:spacing w:line="360" w:lineRule="auto"/>
        <w:ind w:firstLineChars="245" w:firstLine="514"/>
        <w:rPr>
          <w:rFonts w:hint="eastAsia"/>
        </w:rPr>
      </w:pPr>
      <w:r>
        <w:rPr>
          <w:noProof/>
        </w:rPr>
        <w:lastRenderedPageBreak/>
        <w:drawing>
          <wp:inline distT="0" distB="0" distL="0" distR="0" wp14:anchorId="0B3E2BC2" wp14:editId="7A2801F3">
            <wp:extent cx="4714875" cy="27813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0C5870" w:rsidRDefault="000C5870" w:rsidP="000C01AB">
      <w:pPr>
        <w:spacing w:line="360" w:lineRule="auto"/>
        <w:ind w:firstLineChars="245" w:firstLine="514"/>
        <w:rPr>
          <w:rFonts w:hint="eastAsia"/>
        </w:rPr>
      </w:pPr>
      <w:r>
        <w:rPr>
          <w:noProof/>
        </w:rPr>
        <w:drawing>
          <wp:inline distT="0" distB="0" distL="0" distR="0" wp14:anchorId="1001C30D" wp14:editId="75923426">
            <wp:extent cx="4714875" cy="29146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4FBAC131" wp14:editId="6AE54F7B">
            <wp:extent cx="4714875" cy="27432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5870" w:rsidRDefault="000C5870" w:rsidP="000C01AB">
      <w:pPr>
        <w:spacing w:line="360" w:lineRule="auto"/>
        <w:ind w:firstLineChars="245" w:firstLine="514"/>
        <w:rPr>
          <w:rFonts w:hint="eastAsia"/>
        </w:rPr>
      </w:pPr>
      <w:r>
        <w:rPr>
          <w:noProof/>
        </w:rPr>
        <w:lastRenderedPageBreak/>
        <w:drawing>
          <wp:inline distT="0" distB="0" distL="0" distR="0" wp14:anchorId="516671D9" wp14:editId="116E6BC7">
            <wp:extent cx="4629150" cy="2824162"/>
            <wp:effectExtent l="0" t="0" r="1905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00A15B22" wp14:editId="19C43BC2">
            <wp:extent cx="4572000" cy="27432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00DE38AA" wp14:editId="2651F90B">
            <wp:extent cx="4619625" cy="2833687"/>
            <wp:effectExtent l="0" t="0" r="9525" b="241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5870" w:rsidRDefault="000C5870" w:rsidP="000C01AB">
      <w:pPr>
        <w:spacing w:line="360" w:lineRule="auto"/>
        <w:ind w:firstLineChars="245" w:firstLine="514"/>
        <w:rPr>
          <w:rFonts w:hint="eastAsia"/>
        </w:rPr>
      </w:pPr>
      <w:r>
        <w:rPr>
          <w:noProof/>
        </w:rPr>
        <w:lastRenderedPageBreak/>
        <w:drawing>
          <wp:inline distT="0" distB="0" distL="0" distR="0" wp14:anchorId="2DB4035A" wp14:editId="5FC50C4E">
            <wp:extent cx="4572000" cy="27432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75B22B2D" wp14:editId="68864BFC">
            <wp:extent cx="4581525" cy="2852737"/>
            <wp:effectExtent l="0" t="0" r="9525" b="2413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63863634" wp14:editId="07B1A0ED">
            <wp:extent cx="4572000" cy="2743200"/>
            <wp:effectExtent l="0" t="0" r="19050"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5870" w:rsidRDefault="000C5870" w:rsidP="000C01AB">
      <w:pPr>
        <w:spacing w:line="360" w:lineRule="auto"/>
        <w:ind w:firstLineChars="245" w:firstLine="514"/>
        <w:rPr>
          <w:rFonts w:hint="eastAsia"/>
        </w:rPr>
      </w:pPr>
      <w:r>
        <w:rPr>
          <w:noProof/>
        </w:rPr>
        <w:lastRenderedPageBreak/>
        <w:drawing>
          <wp:inline distT="0" distB="0" distL="0" distR="0" wp14:anchorId="077AE34F" wp14:editId="0EF43CDB">
            <wp:extent cx="4572000" cy="2833687"/>
            <wp:effectExtent l="0" t="0" r="19050" b="2413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44037A83" wp14:editId="480F6E94">
            <wp:extent cx="4572000" cy="27432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58D36343" wp14:editId="02499107">
            <wp:extent cx="4657725" cy="2814638"/>
            <wp:effectExtent l="0" t="0" r="9525" b="2413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5870" w:rsidRDefault="000C5870" w:rsidP="000C01AB">
      <w:pPr>
        <w:spacing w:line="360" w:lineRule="auto"/>
        <w:ind w:firstLineChars="245" w:firstLine="514"/>
        <w:rPr>
          <w:rFonts w:hint="eastAsia"/>
        </w:rPr>
      </w:pPr>
      <w:r>
        <w:rPr>
          <w:noProof/>
        </w:rPr>
        <w:lastRenderedPageBreak/>
        <w:drawing>
          <wp:inline distT="0" distB="0" distL="0" distR="0" wp14:anchorId="285133B6" wp14:editId="10FB4264">
            <wp:extent cx="4572000" cy="2743200"/>
            <wp:effectExtent l="0" t="0" r="19050" b="1905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1294F687" wp14:editId="75011059">
            <wp:extent cx="4657725" cy="2814638"/>
            <wp:effectExtent l="0" t="0" r="9525" b="2413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06316DEE" wp14:editId="562BAE9E">
            <wp:extent cx="4657725" cy="2814638"/>
            <wp:effectExtent l="0" t="0" r="9525" b="2413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5870" w:rsidRDefault="000C5870" w:rsidP="000C01AB">
      <w:pPr>
        <w:spacing w:line="360" w:lineRule="auto"/>
        <w:ind w:firstLineChars="245" w:firstLine="514"/>
        <w:rPr>
          <w:rFonts w:hint="eastAsia"/>
        </w:rPr>
      </w:pPr>
      <w:r>
        <w:rPr>
          <w:noProof/>
        </w:rPr>
        <w:lastRenderedPageBreak/>
        <w:drawing>
          <wp:inline distT="0" distB="0" distL="0" distR="0" wp14:anchorId="284F4501" wp14:editId="0149E89B">
            <wp:extent cx="4629150" cy="2824163"/>
            <wp:effectExtent l="0" t="0" r="19050" b="146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021BCF8C" wp14:editId="1808E3F4">
            <wp:extent cx="4572000" cy="2743200"/>
            <wp:effectExtent l="0" t="0" r="19050" b="190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5BA81E85" wp14:editId="4CE7AE26">
            <wp:extent cx="4591050" cy="2862262"/>
            <wp:effectExtent l="0" t="0" r="19050" b="1460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C5870" w:rsidRDefault="000C5870" w:rsidP="000C01AB">
      <w:pPr>
        <w:spacing w:line="360" w:lineRule="auto"/>
        <w:ind w:firstLineChars="245" w:firstLine="514"/>
        <w:rPr>
          <w:rFonts w:hint="eastAsia"/>
        </w:rPr>
      </w:pPr>
      <w:r>
        <w:rPr>
          <w:noProof/>
        </w:rPr>
        <w:lastRenderedPageBreak/>
        <w:drawing>
          <wp:inline distT="0" distB="0" distL="0" distR="0" wp14:anchorId="31A1CC4D" wp14:editId="2DB8EA44">
            <wp:extent cx="4572000" cy="2743200"/>
            <wp:effectExtent l="0" t="0" r="19050" b="1905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406C8EAC" wp14:editId="5F494774">
            <wp:extent cx="4638675" cy="2833687"/>
            <wp:effectExtent l="0" t="0" r="9525" b="2413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C5870" w:rsidRDefault="000C5870" w:rsidP="000C01AB">
      <w:pPr>
        <w:spacing w:line="360" w:lineRule="auto"/>
        <w:ind w:firstLineChars="245" w:firstLine="514"/>
        <w:rPr>
          <w:rFonts w:hint="eastAsia"/>
        </w:rPr>
      </w:pPr>
      <w:r>
        <w:rPr>
          <w:noProof/>
        </w:rPr>
        <w:drawing>
          <wp:inline distT="0" distB="0" distL="0" distR="0" wp14:anchorId="025D28A2" wp14:editId="6CE6727C">
            <wp:extent cx="4572000" cy="2743200"/>
            <wp:effectExtent l="0" t="0" r="19050" b="1905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C5870" w:rsidRDefault="000C5870" w:rsidP="000C01AB">
      <w:pPr>
        <w:spacing w:line="360" w:lineRule="auto"/>
        <w:ind w:firstLineChars="245" w:firstLine="514"/>
        <w:rPr>
          <w:rFonts w:hint="eastAsia"/>
        </w:rPr>
      </w:pPr>
      <w:r>
        <w:rPr>
          <w:noProof/>
        </w:rPr>
        <w:lastRenderedPageBreak/>
        <w:drawing>
          <wp:inline distT="0" distB="0" distL="0" distR="0" wp14:anchorId="7B215577" wp14:editId="398E7818">
            <wp:extent cx="4591050" cy="2909887"/>
            <wp:effectExtent l="0" t="0" r="19050" b="2413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C5870" w:rsidRPr="00AA4F73" w:rsidRDefault="000C5870" w:rsidP="000C01AB">
      <w:pPr>
        <w:spacing w:line="360" w:lineRule="auto"/>
        <w:ind w:firstLineChars="245" w:firstLine="514"/>
      </w:pPr>
    </w:p>
    <w:sectPr w:rsidR="000C5870" w:rsidRPr="00AA4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88" w:rsidRDefault="008D2988" w:rsidP="00DB3C68">
      <w:r>
        <w:separator/>
      </w:r>
    </w:p>
  </w:endnote>
  <w:endnote w:type="continuationSeparator" w:id="0">
    <w:p w:rsidR="008D2988" w:rsidRDefault="008D2988" w:rsidP="00DB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88" w:rsidRDefault="008D2988" w:rsidP="00DB3C68">
      <w:r>
        <w:separator/>
      </w:r>
    </w:p>
  </w:footnote>
  <w:footnote w:type="continuationSeparator" w:id="0">
    <w:p w:rsidR="008D2988" w:rsidRDefault="008D2988" w:rsidP="00DB3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1864"/>
    <w:rsid w:val="000C01AB"/>
    <w:rsid w:val="000C5870"/>
    <w:rsid w:val="00451864"/>
    <w:rsid w:val="007C24DC"/>
    <w:rsid w:val="008D2988"/>
    <w:rsid w:val="00A9610C"/>
    <w:rsid w:val="00AA4F73"/>
    <w:rsid w:val="00DB3C68"/>
    <w:rsid w:val="00E6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7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669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669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1"/>
    <w:next w:val="a"/>
    <w:semiHidden/>
    <w:qFormat/>
    <w:rsid w:val="00E669EB"/>
    <w:pPr>
      <w:spacing w:beforeLines="50" w:before="0" w:afterLines="50" w:after="0" w:line="240" w:lineRule="auto"/>
    </w:pPr>
    <w:rPr>
      <w:rFonts w:eastAsia="黑体" w:hAnsi="Calibri"/>
      <w:sz w:val="32"/>
    </w:rPr>
  </w:style>
  <w:style w:type="character" w:customStyle="1" w:styleId="1Char">
    <w:name w:val="标题 1 Char"/>
    <w:basedOn w:val="a0"/>
    <w:link w:val="1"/>
    <w:uiPriority w:val="9"/>
    <w:rsid w:val="00E669EB"/>
    <w:rPr>
      <w:rFonts w:ascii="Times New Roman" w:eastAsia="宋体" w:hAnsi="Times New Roman"/>
      <w:b/>
      <w:bCs/>
      <w:kern w:val="44"/>
      <w:sz w:val="44"/>
      <w:szCs w:val="44"/>
    </w:rPr>
  </w:style>
  <w:style w:type="paragraph" w:customStyle="1" w:styleId="10">
    <w:name w:val="正文1"/>
    <w:basedOn w:val="a"/>
    <w:semiHidden/>
    <w:qFormat/>
    <w:rsid w:val="00E669EB"/>
    <w:pPr>
      <w:spacing w:line="440" w:lineRule="exact"/>
      <w:ind w:firstLineChars="200" w:firstLine="480"/>
    </w:pPr>
  </w:style>
  <w:style w:type="paragraph" w:customStyle="1" w:styleId="11">
    <w:name w:val="列出段落1"/>
    <w:basedOn w:val="a"/>
    <w:uiPriority w:val="34"/>
    <w:qFormat/>
    <w:rsid w:val="00E669EB"/>
    <w:pPr>
      <w:ind w:firstLineChars="200" w:firstLine="420"/>
    </w:pPr>
    <w:rPr>
      <w:rFonts w:ascii="Calibri" w:hAnsi="Calibri"/>
      <w:szCs w:val="22"/>
    </w:rPr>
  </w:style>
  <w:style w:type="paragraph" w:customStyle="1" w:styleId="-">
    <w:name w:val="摘要内容-英"/>
    <w:basedOn w:val="a"/>
    <w:semiHidden/>
    <w:qFormat/>
    <w:rsid w:val="00E669EB"/>
    <w:pPr>
      <w:snapToGrid w:val="0"/>
      <w:spacing w:afterLines="50" w:line="440" w:lineRule="exact"/>
      <w:ind w:firstLineChars="200" w:firstLine="200"/>
      <w:jc w:val="center"/>
    </w:pPr>
    <w:rPr>
      <w:rFonts w:ascii="Calibri" w:hAnsi="Calibri"/>
      <w:b/>
    </w:rPr>
  </w:style>
  <w:style w:type="paragraph" w:customStyle="1" w:styleId="a4">
    <w:name w:val="参考文献"/>
    <w:basedOn w:val="a"/>
    <w:semiHidden/>
    <w:qFormat/>
    <w:rsid w:val="00E669EB"/>
    <w:pPr>
      <w:spacing w:line="440" w:lineRule="exact"/>
    </w:pPr>
    <w:rPr>
      <w:color w:val="000000"/>
      <w:szCs w:val="48"/>
    </w:rPr>
  </w:style>
  <w:style w:type="character" w:customStyle="1" w:styleId="2Char">
    <w:name w:val="标题 2 Char"/>
    <w:basedOn w:val="a0"/>
    <w:link w:val="2"/>
    <w:uiPriority w:val="9"/>
    <w:semiHidden/>
    <w:rsid w:val="00E669EB"/>
    <w:rPr>
      <w:rFonts w:asciiTheme="majorHAnsi" w:eastAsiaTheme="majorEastAsia" w:hAnsiTheme="majorHAnsi" w:cstheme="majorBidi"/>
      <w:b/>
      <w:bCs/>
      <w:kern w:val="0"/>
      <w:sz w:val="32"/>
      <w:szCs w:val="32"/>
    </w:rPr>
  </w:style>
  <w:style w:type="paragraph" w:styleId="12">
    <w:name w:val="toc 1"/>
    <w:basedOn w:val="a"/>
    <w:next w:val="a"/>
    <w:autoRedefine/>
    <w:semiHidden/>
    <w:unhideWhenUsed/>
    <w:qFormat/>
    <w:rsid w:val="00E669EB"/>
    <w:rPr>
      <w:szCs w:val="22"/>
    </w:rPr>
  </w:style>
  <w:style w:type="paragraph" w:styleId="a5">
    <w:name w:val="Title"/>
    <w:basedOn w:val="a"/>
    <w:next w:val="a"/>
    <w:link w:val="Char1"/>
    <w:qFormat/>
    <w:rsid w:val="00E669EB"/>
    <w:pPr>
      <w:spacing w:before="240" w:after="60"/>
      <w:jc w:val="center"/>
      <w:outlineLvl w:val="0"/>
    </w:pPr>
    <w:rPr>
      <w:b/>
      <w:bCs/>
      <w:kern w:val="44"/>
      <w:sz w:val="44"/>
      <w:szCs w:val="44"/>
    </w:rPr>
  </w:style>
  <w:style w:type="character" w:customStyle="1" w:styleId="Char">
    <w:name w:val="标题 Char"/>
    <w:basedOn w:val="a0"/>
    <w:uiPriority w:val="10"/>
    <w:rsid w:val="00E669EB"/>
    <w:rPr>
      <w:rFonts w:asciiTheme="majorHAnsi" w:eastAsia="宋体" w:hAnsiTheme="majorHAnsi" w:cstheme="majorBidi"/>
      <w:b/>
      <w:bCs/>
      <w:kern w:val="0"/>
      <w:sz w:val="32"/>
      <w:szCs w:val="32"/>
    </w:rPr>
  </w:style>
  <w:style w:type="character" w:customStyle="1" w:styleId="Char1">
    <w:name w:val="标题 Char1"/>
    <w:basedOn w:val="a0"/>
    <w:link w:val="a5"/>
    <w:locked/>
    <w:rsid w:val="00E669EB"/>
    <w:rPr>
      <w:rFonts w:ascii="Times New Roman" w:eastAsia="宋体" w:hAnsi="Times New Roman" w:cs="Times New Roman"/>
      <w:b/>
      <w:bCs/>
      <w:kern w:val="44"/>
      <w:sz w:val="44"/>
      <w:szCs w:val="44"/>
    </w:rPr>
  </w:style>
  <w:style w:type="paragraph" w:styleId="a6">
    <w:name w:val="List Paragraph"/>
    <w:basedOn w:val="a"/>
    <w:uiPriority w:val="34"/>
    <w:qFormat/>
    <w:rsid w:val="00E669EB"/>
    <w:pPr>
      <w:ind w:firstLineChars="200" w:firstLine="420"/>
    </w:pPr>
  </w:style>
  <w:style w:type="paragraph" w:styleId="a7">
    <w:name w:val="Balloon Text"/>
    <w:basedOn w:val="a"/>
    <w:link w:val="Char0"/>
    <w:uiPriority w:val="99"/>
    <w:semiHidden/>
    <w:unhideWhenUsed/>
    <w:rsid w:val="000C01AB"/>
    <w:rPr>
      <w:sz w:val="18"/>
      <w:szCs w:val="18"/>
    </w:rPr>
  </w:style>
  <w:style w:type="character" w:customStyle="1" w:styleId="Char0">
    <w:name w:val="批注框文本 Char"/>
    <w:basedOn w:val="a0"/>
    <w:link w:val="a7"/>
    <w:uiPriority w:val="99"/>
    <w:semiHidden/>
    <w:rsid w:val="000C01AB"/>
    <w:rPr>
      <w:rFonts w:ascii="Times New Roman" w:eastAsia="宋体" w:hAnsi="Times New Roman" w:cs="Times New Roman"/>
      <w:sz w:val="18"/>
      <w:szCs w:val="18"/>
    </w:rPr>
  </w:style>
  <w:style w:type="paragraph" w:styleId="a8">
    <w:name w:val="header"/>
    <w:basedOn w:val="a"/>
    <w:link w:val="Char2"/>
    <w:uiPriority w:val="99"/>
    <w:unhideWhenUsed/>
    <w:rsid w:val="00DB3C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B3C68"/>
    <w:rPr>
      <w:rFonts w:ascii="Times New Roman" w:eastAsia="宋体" w:hAnsi="Times New Roman" w:cs="Times New Roman"/>
      <w:sz w:val="18"/>
      <w:szCs w:val="18"/>
    </w:rPr>
  </w:style>
  <w:style w:type="paragraph" w:styleId="a9">
    <w:name w:val="footer"/>
    <w:basedOn w:val="a"/>
    <w:link w:val="Char3"/>
    <w:uiPriority w:val="99"/>
    <w:unhideWhenUsed/>
    <w:rsid w:val="00DB3C68"/>
    <w:pPr>
      <w:tabs>
        <w:tab w:val="center" w:pos="4153"/>
        <w:tab w:val="right" w:pos="8306"/>
      </w:tabs>
      <w:snapToGrid w:val="0"/>
      <w:jc w:val="left"/>
    </w:pPr>
    <w:rPr>
      <w:sz w:val="18"/>
      <w:szCs w:val="18"/>
    </w:rPr>
  </w:style>
  <w:style w:type="character" w:customStyle="1" w:styleId="Char3">
    <w:name w:val="页脚 Char"/>
    <w:basedOn w:val="a0"/>
    <w:link w:val="a9"/>
    <w:uiPriority w:val="99"/>
    <w:rsid w:val="00DB3C68"/>
    <w:rPr>
      <w:rFonts w:ascii="Times New Roman" w:eastAsia="宋体" w:hAnsi="Times New Roman" w:cs="Times New Roman"/>
      <w:sz w:val="18"/>
      <w:szCs w:val="18"/>
    </w:rPr>
  </w:style>
  <w:style w:type="paragraph" w:styleId="aa">
    <w:name w:val="Normal (Web)"/>
    <w:basedOn w:val="a"/>
    <w:uiPriority w:val="99"/>
    <w:semiHidden/>
    <w:unhideWhenUsed/>
    <w:rsid w:val="000C587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webSettings" Target="web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35843;&#26597;&#25991;&#20214;&#32479;&#35745;.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Administrator\Desktop\&#35843;&#26597;&#25991;&#20214;&#32479;&#35745;.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Administrator\Desktop\&#35843;&#26597;&#25991;&#20214;&#32479;&#35745;.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Administrator\Desktop\&#35843;&#26597;&#25991;&#20214;&#32479;&#35745;.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Administrator\Desktop\&#35843;&#26597;&#25991;&#20214;&#32479;&#35745;.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Administrator\Desktop\&#35843;&#26597;&#25991;&#20214;&#32479;&#35745;.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Administrator\Desktop\&#35843;&#26597;&#25991;&#20214;&#32479;&#35745;.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Administrator\Desktop\&#35843;&#26597;&#25991;&#20214;&#32479;&#35745;.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Administrator\Desktop\&#35843;&#26597;&#25991;&#20214;&#32479;&#35745;.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Administrator\Desktop\&#35843;&#26597;&#25991;&#20214;&#32479;&#35745;.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Administrator\Desktop\&#35843;&#26597;&#25991;&#20214;&#32479;&#3574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35843;&#26597;&#25991;&#20214;&#32479;&#35745;.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Administrator\Desktop\&#35843;&#26597;&#25991;&#20214;&#32479;&#35745;.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Administrator\Desktop\&#35843;&#26597;&#25991;&#20214;&#32479;&#35745;.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Administrator\Desktop\&#35843;&#26597;&#25991;&#20214;&#32479;&#35745;.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Administrator\Desktop\&#35843;&#26597;&#25991;&#20214;&#32479;&#35745;.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Administrator\Desktop\&#35843;&#26597;&#25991;&#20214;&#32479;&#3574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35843;&#26597;&#25991;&#20214;&#32479;&#3574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dministrator\Desktop\&#35843;&#26597;&#25991;&#20214;&#32479;&#35745;.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dministrator\Desktop\&#35843;&#26597;&#25991;&#20214;&#32479;&#35745;.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dministrator\Desktop\&#35843;&#26597;&#25991;&#20214;&#32479;&#35745;.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dministrator\Desktop\&#35843;&#26597;&#25991;&#20214;&#32479;&#35745;.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Administrator\Desktop\&#35843;&#26597;&#25991;&#20214;&#32479;&#35745;.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Administrator\Desktop\&#35843;&#26597;&#25991;&#20214;&#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zh-CN" sz="1400"/>
              <a:t>工程知识</a:t>
            </a:r>
          </a:p>
        </c:rich>
      </c:tx>
      <c:overlay val="0"/>
    </c:title>
    <c:autoTitleDeleted val="0"/>
    <c:plotArea>
      <c:layout>
        <c:manualLayout>
          <c:layoutTarget val="inner"/>
          <c:xMode val="edge"/>
          <c:yMode val="edge"/>
          <c:x val="0.13653026978185104"/>
          <c:y val="0.16887526181559862"/>
          <c:w val="0.76346981627296595"/>
          <c:h val="0.586323272090989"/>
        </c:manualLayout>
      </c:layout>
      <c:barChart>
        <c:barDir val="col"/>
        <c:grouping val="stacked"/>
        <c:varyColors val="0"/>
        <c:ser>
          <c:idx val="0"/>
          <c:order val="0"/>
          <c:invertIfNegative val="0"/>
          <c:val>
            <c:numRef>
              <c:f>Sheet1!$A$1:$A$5</c:f>
              <c:numCache>
                <c:formatCode>General</c:formatCode>
                <c:ptCount val="5"/>
                <c:pt idx="0">
                  <c:v>0</c:v>
                </c:pt>
                <c:pt idx="1">
                  <c:v>0</c:v>
                </c:pt>
                <c:pt idx="2">
                  <c:v>3</c:v>
                </c:pt>
                <c:pt idx="3">
                  <c:v>4</c:v>
                </c:pt>
                <c:pt idx="4">
                  <c:v>10</c:v>
                </c:pt>
              </c:numCache>
            </c:numRef>
          </c:val>
        </c:ser>
        <c:dLbls>
          <c:dLblPos val="ctr"/>
          <c:showLegendKey val="0"/>
          <c:showVal val="1"/>
          <c:showCatName val="0"/>
          <c:showSerName val="0"/>
          <c:showPercent val="0"/>
          <c:showBubbleSize val="0"/>
        </c:dLbls>
        <c:gapWidth val="150"/>
        <c:overlap val="100"/>
        <c:axId val="206530816"/>
        <c:axId val="206671872"/>
      </c:barChart>
      <c:catAx>
        <c:axId val="206530816"/>
        <c:scaling>
          <c:orientation val="minMax"/>
        </c:scaling>
        <c:delete val="0"/>
        <c:axPos val="b"/>
        <c:majorTickMark val="out"/>
        <c:minorTickMark val="none"/>
        <c:tickLblPos val="nextTo"/>
        <c:txPr>
          <a:bodyPr rot="-60000000" vert="horz"/>
          <a:lstStyle/>
          <a:p>
            <a:pPr>
              <a:defRPr/>
            </a:pPr>
            <a:endParaRPr lang="zh-CN"/>
          </a:p>
        </c:txPr>
        <c:crossAx val="206671872"/>
        <c:crosses val="autoZero"/>
        <c:auto val="1"/>
        <c:lblAlgn val="ctr"/>
        <c:lblOffset val="100"/>
        <c:noMultiLvlLbl val="0"/>
      </c:catAx>
      <c:valAx>
        <c:axId val="206671872"/>
        <c:scaling>
          <c:orientation val="minMax"/>
          <c:max val="12"/>
        </c:scaling>
        <c:delete val="0"/>
        <c:axPos val="l"/>
        <c:majorGridlines/>
        <c:title>
          <c:tx>
            <c:rich>
              <a:bodyPr rot="0" vert="wordArtVertRtl"/>
              <a:lstStyle/>
              <a:p>
                <a:pPr>
                  <a:defRPr/>
                </a:pPr>
                <a:r>
                  <a:rPr lang="zh-CN"/>
                  <a:t>毕业生的表现</a:t>
                </a:r>
              </a:p>
            </c:rich>
          </c:tx>
          <c:overlay val="0"/>
        </c:title>
        <c:numFmt formatCode="General" sourceLinked="1"/>
        <c:majorTickMark val="out"/>
        <c:minorTickMark val="none"/>
        <c:tickLblPos val="nextTo"/>
        <c:txPr>
          <a:bodyPr rot="-60000000" vert="horz"/>
          <a:lstStyle/>
          <a:p>
            <a:pPr>
              <a:defRPr/>
            </a:pPr>
            <a:endParaRPr lang="zh-CN"/>
          </a:p>
        </c:txPr>
        <c:crossAx val="206530816"/>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使用现代工具</a:t>
            </a:r>
          </a:p>
        </c:rich>
      </c:tx>
      <c:layout>
        <c:manualLayout>
          <c:xMode val="edge"/>
          <c:yMode val="edge"/>
          <c:x val="0.39683333333333337"/>
          <c:y val="2.7777777777777776E-2"/>
        </c:manualLayout>
      </c:layout>
      <c:overlay val="0"/>
    </c:title>
    <c:autoTitleDeleted val="0"/>
    <c:plotArea>
      <c:layout>
        <c:manualLayout>
          <c:layoutTarget val="inner"/>
          <c:xMode val="edge"/>
          <c:yMode val="edge"/>
          <c:x val="0.13653018372703413"/>
          <c:y val="0.17732648002333043"/>
          <c:w val="0.79680314960629917"/>
          <c:h val="0.62798993875765519"/>
        </c:manualLayout>
      </c:layout>
      <c:barChart>
        <c:barDir val="col"/>
        <c:grouping val="stacked"/>
        <c:varyColors val="0"/>
        <c:ser>
          <c:idx val="0"/>
          <c:order val="0"/>
          <c:invertIfNegative val="0"/>
          <c:val>
            <c:numRef>
              <c:f>Sheet1!$I$74:$I$78</c:f>
              <c:numCache>
                <c:formatCode>General</c:formatCode>
                <c:ptCount val="5"/>
                <c:pt idx="0">
                  <c:v>0</c:v>
                </c:pt>
                <c:pt idx="1">
                  <c:v>0</c:v>
                </c:pt>
                <c:pt idx="2">
                  <c:v>1</c:v>
                </c:pt>
                <c:pt idx="3">
                  <c:v>7</c:v>
                </c:pt>
                <c:pt idx="4">
                  <c:v>9</c:v>
                </c:pt>
              </c:numCache>
            </c:numRef>
          </c:val>
        </c:ser>
        <c:dLbls>
          <c:dLblPos val="ctr"/>
          <c:showLegendKey val="0"/>
          <c:showVal val="1"/>
          <c:showCatName val="0"/>
          <c:showSerName val="0"/>
          <c:showPercent val="0"/>
          <c:showBubbleSize val="0"/>
        </c:dLbls>
        <c:gapWidth val="150"/>
        <c:overlap val="100"/>
        <c:axId val="208161792"/>
        <c:axId val="208171776"/>
      </c:barChart>
      <c:catAx>
        <c:axId val="208161792"/>
        <c:scaling>
          <c:orientation val="minMax"/>
        </c:scaling>
        <c:delete val="0"/>
        <c:axPos val="b"/>
        <c:majorTickMark val="out"/>
        <c:minorTickMark val="none"/>
        <c:tickLblPos val="nextTo"/>
        <c:crossAx val="208171776"/>
        <c:crosses val="autoZero"/>
        <c:auto val="1"/>
        <c:lblAlgn val="ctr"/>
        <c:lblOffset val="100"/>
        <c:noMultiLvlLbl val="0"/>
      </c:catAx>
      <c:valAx>
        <c:axId val="208171776"/>
        <c:scaling>
          <c:orientation val="minMax"/>
          <c:max val="12"/>
        </c:scaling>
        <c:delete val="0"/>
        <c:axPos val="l"/>
        <c:majorGridlines/>
        <c:title>
          <c:tx>
            <c:rich>
              <a:bodyPr rot="0" vert="wordArtVertRtl"/>
              <a:lstStyle/>
              <a:p>
                <a:pPr>
                  <a:defRPr sz="1100"/>
                </a:pPr>
                <a:r>
                  <a:rPr lang="zh-CN" altLang="en-US" sz="1100"/>
                  <a:t>对核心能力重要性的认识程度</a:t>
                </a:r>
              </a:p>
            </c:rich>
          </c:tx>
          <c:layout>
            <c:manualLayout>
              <c:xMode val="edge"/>
              <c:yMode val="edge"/>
              <c:x val="3.3327549233061041E-2"/>
              <c:y val="0.10912642840892799"/>
            </c:manualLayout>
          </c:layout>
          <c:overlay val="0"/>
        </c:title>
        <c:numFmt formatCode="General" sourceLinked="1"/>
        <c:majorTickMark val="out"/>
        <c:minorTickMark val="none"/>
        <c:tickLblPos val="nextTo"/>
        <c:crossAx val="208161792"/>
        <c:crosses val="autoZero"/>
        <c:crossBetween val="between"/>
        <c:majorUnit val="2"/>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工程与社会</a:t>
            </a:r>
          </a:p>
        </c:rich>
      </c:tx>
      <c:overlay val="0"/>
    </c:title>
    <c:autoTitleDeleted val="0"/>
    <c:plotArea>
      <c:layout>
        <c:manualLayout>
          <c:layoutTarget val="inner"/>
          <c:xMode val="edge"/>
          <c:yMode val="edge"/>
          <c:x val="0.14050240594925634"/>
          <c:y val="0.17732648002333043"/>
          <c:w val="0.79560870516185489"/>
          <c:h val="0.62798993875765519"/>
        </c:manualLayout>
      </c:layout>
      <c:barChart>
        <c:barDir val="col"/>
        <c:grouping val="stacked"/>
        <c:varyColors val="0"/>
        <c:ser>
          <c:idx val="0"/>
          <c:order val="0"/>
          <c:invertIfNegative val="0"/>
          <c:val>
            <c:numRef>
              <c:f>Sheet1!$A$92:$A$96</c:f>
              <c:numCache>
                <c:formatCode>General</c:formatCode>
                <c:ptCount val="5"/>
                <c:pt idx="0">
                  <c:v>0</c:v>
                </c:pt>
                <c:pt idx="1">
                  <c:v>0</c:v>
                </c:pt>
                <c:pt idx="2">
                  <c:v>4</c:v>
                </c:pt>
                <c:pt idx="3">
                  <c:v>4</c:v>
                </c:pt>
                <c:pt idx="4">
                  <c:v>9</c:v>
                </c:pt>
              </c:numCache>
            </c:numRef>
          </c:val>
        </c:ser>
        <c:dLbls>
          <c:dLblPos val="ctr"/>
          <c:showLegendKey val="0"/>
          <c:showVal val="1"/>
          <c:showCatName val="0"/>
          <c:showSerName val="0"/>
          <c:showPercent val="0"/>
          <c:showBubbleSize val="0"/>
        </c:dLbls>
        <c:gapWidth val="150"/>
        <c:overlap val="100"/>
        <c:axId val="208189312"/>
        <c:axId val="208190848"/>
      </c:barChart>
      <c:catAx>
        <c:axId val="208189312"/>
        <c:scaling>
          <c:orientation val="minMax"/>
        </c:scaling>
        <c:delete val="0"/>
        <c:axPos val="b"/>
        <c:majorTickMark val="out"/>
        <c:minorTickMark val="none"/>
        <c:tickLblPos val="nextTo"/>
        <c:crossAx val="208190848"/>
        <c:crosses val="autoZero"/>
        <c:auto val="1"/>
        <c:lblAlgn val="ctr"/>
        <c:lblOffset val="100"/>
        <c:noMultiLvlLbl val="0"/>
      </c:catAx>
      <c:valAx>
        <c:axId val="208190848"/>
        <c:scaling>
          <c:orientation val="minMax"/>
          <c:max val="12"/>
        </c:scaling>
        <c:delete val="0"/>
        <c:axPos val="l"/>
        <c:majorGridlines/>
        <c:title>
          <c:tx>
            <c:rich>
              <a:bodyPr rot="0" vert="wordArtVertRtl"/>
              <a:lstStyle/>
              <a:p>
                <a:pPr>
                  <a:defRPr sz="1100"/>
                </a:pPr>
                <a:r>
                  <a:rPr lang="zh-CN" altLang="en-US" sz="1100"/>
                  <a:t>毕业生的表现</a:t>
                </a:r>
              </a:p>
            </c:rich>
          </c:tx>
          <c:overlay val="0"/>
        </c:title>
        <c:numFmt formatCode="General" sourceLinked="1"/>
        <c:majorTickMark val="out"/>
        <c:minorTickMark val="none"/>
        <c:tickLblPos val="nextTo"/>
        <c:crossAx val="208189312"/>
        <c:crosses val="autoZero"/>
        <c:crossBetween val="between"/>
        <c:majorUnit val="2"/>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工程与社会</a:t>
            </a:r>
          </a:p>
        </c:rich>
      </c:tx>
      <c:overlay val="0"/>
    </c:title>
    <c:autoTitleDeleted val="0"/>
    <c:plotArea>
      <c:layout>
        <c:manualLayout>
          <c:layoutTarget val="inner"/>
          <c:xMode val="edge"/>
          <c:yMode val="edge"/>
          <c:x val="0.14050240594925634"/>
          <c:y val="0.17166398406034258"/>
          <c:w val="0.79838648293963266"/>
          <c:h val="0.63538739458521709"/>
        </c:manualLayout>
      </c:layout>
      <c:barChart>
        <c:barDir val="col"/>
        <c:grouping val="stacked"/>
        <c:varyColors val="0"/>
        <c:ser>
          <c:idx val="0"/>
          <c:order val="0"/>
          <c:invertIfNegative val="0"/>
          <c:val>
            <c:numRef>
              <c:f>Sheet1!$I$92:$I$96</c:f>
              <c:numCache>
                <c:formatCode>General</c:formatCode>
                <c:ptCount val="5"/>
                <c:pt idx="0">
                  <c:v>0</c:v>
                </c:pt>
                <c:pt idx="1">
                  <c:v>0</c:v>
                </c:pt>
                <c:pt idx="2">
                  <c:v>1</c:v>
                </c:pt>
                <c:pt idx="3">
                  <c:v>4</c:v>
                </c:pt>
                <c:pt idx="4">
                  <c:v>12</c:v>
                </c:pt>
              </c:numCache>
            </c:numRef>
          </c:val>
        </c:ser>
        <c:dLbls>
          <c:dLblPos val="ctr"/>
          <c:showLegendKey val="0"/>
          <c:showVal val="1"/>
          <c:showCatName val="0"/>
          <c:showSerName val="0"/>
          <c:showPercent val="0"/>
          <c:showBubbleSize val="0"/>
        </c:dLbls>
        <c:gapWidth val="150"/>
        <c:overlap val="100"/>
        <c:axId val="208229120"/>
        <c:axId val="208230656"/>
      </c:barChart>
      <c:catAx>
        <c:axId val="208229120"/>
        <c:scaling>
          <c:orientation val="minMax"/>
        </c:scaling>
        <c:delete val="0"/>
        <c:axPos val="b"/>
        <c:majorTickMark val="out"/>
        <c:minorTickMark val="none"/>
        <c:tickLblPos val="nextTo"/>
        <c:crossAx val="208230656"/>
        <c:crosses val="autoZero"/>
        <c:auto val="1"/>
        <c:lblAlgn val="ctr"/>
        <c:lblOffset val="100"/>
        <c:noMultiLvlLbl val="0"/>
      </c:catAx>
      <c:valAx>
        <c:axId val="208230656"/>
        <c:scaling>
          <c:orientation val="minMax"/>
          <c:max val="12"/>
        </c:scaling>
        <c:delete val="0"/>
        <c:axPos val="l"/>
        <c:majorGridlines/>
        <c:title>
          <c:tx>
            <c:rich>
              <a:bodyPr rot="0" vert="wordArtVertRtl"/>
              <a:lstStyle/>
              <a:p>
                <a:pPr>
                  <a:defRPr sz="1100"/>
                </a:pPr>
                <a:r>
                  <a:rPr lang="zh-CN" altLang="en-US" sz="1100"/>
                  <a:t>对核心能力重要性的认识程度</a:t>
                </a:r>
              </a:p>
            </c:rich>
          </c:tx>
          <c:layout>
            <c:manualLayout>
              <c:xMode val="edge"/>
              <c:yMode val="edge"/>
              <c:x val="3.0555555555555555E-2"/>
              <c:y val="0.11340066845773722"/>
            </c:manualLayout>
          </c:layout>
          <c:overlay val="0"/>
        </c:title>
        <c:numFmt formatCode="General" sourceLinked="1"/>
        <c:majorTickMark val="out"/>
        <c:minorTickMark val="none"/>
        <c:tickLblPos val="nextTo"/>
        <c:crossAx val="208229120"/>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环境和可持续发展</a:t>
            </a:r>
          </a:p>
        </c:rich>
      </c:tx>
      <c:layout>
        <c:manualLayout>
          <c:xMode val="edge"/>
          <c:yMode val="edge"/>
          <c:x val="0.30516666666666664"/>
          <c:y val="3.7037037037037035E-2"/>
        </c:manualLayout>
      </c:layout>
      <c:overlay val="0"/>
    </c:title>
    <c:autoTitleDeleted val="0"/>
    <c:plotArea>
      <c:layout>
        <c:manualLayout>
          <c:layoutTarget val="inner"/>
          <c:xMode val="edge"/>
          <c:yMode val="edge"/>
          <c:x val="0.14050240594925634"/>
          <c:y val="0.17732648002333043"/>
          <c:w val="0.80949759405074373"/>
          <c:h val="0.65576771653543298"/>
        </c:manualLayout>
      </c:layout>
      <c:barChart>
        <c:barDir val="col"/>
        <c:grouping val="stacked"/>
        <c:varyColors val="0"/>
        <c:ser>
          <c:idx val="0"/>
          <c:order val="0"/>
          <c:invertIfNegative val="0"/>
          <c:val>
            <c:numRef>
              <c:f>Sheet1!$A$108:$A$112</c:f>
              <c:numCache>
                <c:formatCode>General</c:formatCode>
                <c:ptCount val="5"/>
                <c:pt idx="0">
                  <c:v>0</c:v>
                </c:pt>
                <c:pt idx="1">
                  <c:v>0</c:v>
                </c:pt>
                <c:pt idx="2">
                  <c:v>4</c:v>
                </c:pt>
                <c:pt idx="3">
                  <c:v>3</c:v>
                </c:pt>
                <c:pt idx="4">
                  <c:v>10</c:v>
                </c:pt>
              </c:numCache>
            </c:numRef>
          </c:val>
        </c:ser>
        <c:dLbls>
          <c:dLblPos val="ctr"/>
          <c:showLegendKey val="0"/>
          <c:showVal val="1"/>
          <c:showCatName val="0"/>
          <c:showSerName val="0"/>
          <c:showPercent val="0"/>
          <c:showBubbleSize val="0"/>
        </c:dLbls>
        <c:gapWidth val="150"/>
        <c:overlap val="100"/>
        <c:axId val="208256384"/>
        <c:axId val="208266368"/>
      </c:barChart>
      <c:catAx>
        <c:axId val="208256384"/>
        <c:scaling>
          <c:orientation val="minMax"/>
        </c:scaling>
        <c:delete val="0"/>
        <c:axPos val="b"/>
        <c:majorTickMark val="out"/>
        <c:minorTickMark val="none"/>
        <c:tickLblPos val="nextTo"/>
        <c:crossAx val="208266368"/>
        <c:crosses val="autoZero"/>
        <c:auto val="1"/>
        <c:lblAlgn val="ctr"/>
        <c:lblOffset val="100"/>
        <c:noMultiLvlLbl val="0"/>
      </c:catAx>
      <c:valAx>
        <c:axId val="208266368"/>
        <c:scaling>
          <c:orientation val="minMax"/>
        </c:scaling>
        <c:delete val="0"/>
        <c:axPos val="l"/>
        <c:majorGridlines/>
        <c:title>
          <c:tx>
            <c:rich>
              <a:bodyPr rot="0" vert="wordArtVertRtl"/>
              <a:lstStyle/>
              <a:p>
                <a:pPr>
                  <a:defRPr sz="1100"/>
                </a:pPr>
                <a:r>
                  <a:rPr lang="zh-CN" altLang="en-US" sz="1100"/>
                  <a:t>毕业生的表现</a:t>
                </a:r>
              </a:p>
            </c:rich>
          </c:tx>
          <c:overlay val="0"/>
        </c:title>
        <c:numFmt formatCode="General" sourceLinked="1"/>
        <c:majorTickMark val="out"/>
        <c:minorTickMark val="none"/>
        <c:tickLblPos val="nextTo"/>
        <c:crossAx val="208256384"/>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环境和可持续发展</a:t>
            </a:r>
          </a:p>
        </c:rich>
      </c:tx>
      <c:overlay val="0"/>
    </c:title>
    <c:autoTitleDeleted val="0"/>
    <c:plotArea>
      <c:layout>
        <c:manualLayout>
          <c:layoutTarget val="inner"/>
          <c:xMode val="edge"/>
          <c:yMode val="edge"/>
          <c:x val="0.13653018372703413"/>
          <c:y val="0.17732648002333043"/>
          <c:w val="0.81346981627296577"/>
          <c:h val="0.63724919801691449"/>
        </c:manualLayout>
      </c:layout>
      <c:barChart>
        <c:barDir val="col"/>
        <c:grouping val="stacked"/>
        <c:varyColors val="0"/>
        <c:ser>
          <c:idx val="0"/>
          <c:order val="0"/>
          <c:invertIfNegative val="0"/>
          <c:val>
            <c:numRef>
              <c:f>Sheet1!$I$108:$I$112</c:f>
              <c:numCache>
                <c:formatCode>General</c:formatCode>
                <c:ptCount val="5"/>
                <c:pt idx="0">
                  <c:v>0</c:v>
                </c:pt>
                <c:pt idx="1">
                  <c:v>0</c:v>
                </c:pt>
                <c:pt idx="2">
                  <c:v>1</c:v>
                </c:pt>
                <c:pt idx="3">
                  <c:v>3</c:v>
                </c:pt>
                <c:pt idx="4">
                  <c:v>13</c:v>
                </c:pt>
              </c:numCache>
            </c:numRef>
          </c:val>
        </c:ser>
        <c:dLbls>
          <c:dLblPos val="ctr"/>
          <c:showLegendKey val="0"/>
          <c:showVal val="1"/>
          <c:showCatName val="0"/>
          <c:showSerName val="0"/>
          <c:showPercent val="0"/>
          <c:showBubbleSize val="0"/>
        </c:dLbls>
        <c:gapWidth val="150"/>
        <c:overlap val="100"/>
        <c:axId val="208312576"/>
        <c:axId val="208330752"/>
      </c:barChart>
      <c:catAx>
        <c:axId val="208312576"/>
        <c:scaling>
          <c:orientation val="minMax"/>
        </c:scaling>
        <c:delete val="0"/>
        <c:axPos val="b"/>
        <c:majorTickMark val="out"/>
        <c:minorTickMark val="none"/>
        <c:tickLblPos val="nextTo"/>
        <c:crossAx val="208330752"/>
        <c:crosses val="autoZero"/>
        <c:auto val="1"/>
        <c:lblAlgn val="ctr"/>
        <c:lblOffset val="100"/>
        <c:noMultiLvlLbl val="0"/>
      </c:catAx>
      <c:valAx>
        <c:axId val="208330752"/>
        <c:scaling>
          <c:orientation val="minMax"/>
        </c:scaling>
        <c:delete val="0"/>
        <c:axPos val="l"/>
        <c:majorGridlines/>
        <c:title>
          <c:tx>
            <c:rich>
              <a:bodyPr rot="0" vert="wordArtVertRtl"/>
              <a:lstStyle/>
              <a:p>
                <a:pPr>
                  <a:defRPr sz="1100"/>
                </a:pPr>
                <a:r>
                  <a:rPr lang="zh-CN" altLang="en-US" sz="1100"/>
                  <a:t>对核心能力重要性的认识程度</a:t>
                </a:r>
              </a:p>
            </c:rich>
          </c:tx>
          <c:layout>
            <c:manualLayout>
              <c:xMode val="edge"/>
              <c:yMode val="edge"/>
              <c:x val="3.0555555555555555E-2"/>
              <c:y val="0.13565981335666374"/>
            </c:manualLayout>
          </c:layout>
          <c:overlay val="0"/>
        </c:title>
        <c:numFmt formatCode="General" sourceLinked="1"/>
        <c:majorTickMark val="out"/>
        <c:minorTickMark val="none"/>
        <c:tickLblPos val="nextTo"/>
        <c:crossAx val="20831257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职业规范</a:t>
            </a:r>
          </a:p>
        </c:rich>
      </c:tx>
      <c:overlay val="0"/>
    </c:title>
    <c:autoTitleDeleted val="0"/>
    <c:plotArea>
      <c:layout>
        <c:manualLayout>
          <c:layoutTarget val="inner"/>
          <c:xMode val="edge"/>
          <c:yMode val="edge"/>
          <c:x val="0.14050240594925634"/>
          <c:y val="0.17732648002333043"/>
          <c:w val="0.79560870516185489"/>
          <c:h val="0.66502697579469228"/>
        </c:manualLayout>
      </c:layout>
      <c:barChart>
        <c:barDir val="col"/>
        <c:grouping val="stacked"/>
        <c:varyColors val="0"/>
        <c:ser>
          <c:idx val="0"/>
          <c:order val="0"/>
          <c:invertIfNegative val="0"/>
          <c:val>
            <c:numRef>
              <c:f>Sheet1!$A$125:$A$129</c:f>
              <c:numCache>
                <c:formatCode>General</c:formatCode>
                <c:ptCount val="5"/>
                <c:pt idx="0">
                  <c:v>0</c:v>
                </c:pt>
                <c:pt idx="1">
                  <c:v>0</c:v>
                </c:pt>
                <c:pt idx="2">
                  <c:v>1</c:v>
                </c:pt>
                <c:pt idx="3">
                  <c:v>5</c:v>
                </c:pt>
                <c:pt idx="4">
                  <c:v>11</c:v>
                </c:pt>
              </c:numCache>
            </c:numRef>
          </c:val>
        </c:ser>
        <c:dLbls>
          <c:dLblPos val="ctr"/>
          <c:showLegendKey val="0"/>
          <c:showVal val="1"/>
          <c:showCatName val="0"/>
          <c:showSerName val="0"/>
          <c:showPercent val="0"/>
          <c:showBubbleSize val="0"/>
        </c:dLbls>
        <c:gapWidth val="150"/>
        <c:overlap val="100"/>
        <c:axId val="208385152"/>
        <c:axId val="208386688"/>
      </c:barChart>
      <c:catAx>
        <c:axId val="208385152"/>
        <c:scaling>
          <c:orientation val="minMax"/>
        </c:scaling>
        <c:delete val="0"/>
        <c:axPos val="b"/>
        <c:majorTickMark val="out"/>
        <c:minorTickMark val="none"/>
        <c:tickLblPos val="nextTo"/>
        <c:crossAx val="208386688"/>
        <c:crosses val="autoZero"/>
        <c:auto val="1"/>
        <c:lblAlgn val="ctr"/>
        <c:lblOffset val="100"/>
        <c:noMultiLvlLbl val="0"/>
      </c:catAx>
      <c:valAx>
        <c:axId val="208386688"/>
        <c:scaling>
          <c:orientation val="minMax"/>
        </c:scaling>
        <c:delete val="0"/>
        <c:axPos val="l"/>
        <c:majorGridlines/>
        <c:title>
          <c:tx>
            <c:rich>
              <a:bodyPr rot="0" vert="wordArtVertRtl"/>
              <a:lstStyle/>
              <a:p>
                <a:pPr>
                  <a:defRPr sz="1100"/>
                </a:pPr>
                <a:r>
                  <a:rPr lang="zh-CN" altLang="zh-CN" sz="1100" b="1" i="0" baseline="0">
                    <a:effectLst/>
                  </a:rPr>
                  <a:t>毕业生的表现</a:t>
                </a:r>
                <a:endParaRPr lang="zh-CN" altLang="zh-CN" sz="1100">
                  <a:effectLst/>
                </a:endParaRPr>
              </a:p>
            </c:rich>
          </c:tx>
          <c:overlay val="0"/>
        </c:title>
        <c:numFmt formatCode="General" sourceLinked="1"/>
        <c:majorTickMark val="out"/>
        <c:minorTickMark val="none"/>
        <c:tickLblPos val="nextTo"/>
        <c:crossAx val="208385152"/>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职业规范</a:t>
            </a:r>
          </a:p>
        </c:rich>
      </c:tx>
      <c:overlay val="0"/>
    </c:title>
    <c:autoTitleDeleted val="0"/>
    <c:plotArea>
      <c:layout>
        <c:manualLayout>
          <c:layoutTarget val="inner"/>
          <c:xMode val="edge"/>
          <c:yMode val="edge"/>
          <c:x val="0.13653018372703413"/>
          <c:y val="0.17732648002333043"/>
          <c:w val="0.81346981627296577"/>
          <c:h val="0.63724919801691449"/>
        </c:manualLayout>
      </c:layout>
      <c:barChart>
        <c:barDir val="col"/>
        <c:grouping val="stacked"/>
        <c:varyColors val="0"/>
        <c:ser>
          <c:idx val="0"/>
          <c:order val="0"/>
          <c:invertIfNegative val="0"/>
          <c:val>
            <c:numRef>
              <c:f>Sheet1!$I$108:$I$112</c:f>
              <c:numCache>
                <c:formatCode>General</c:formatCode>
                <c:ptCount val="5"/>
                <c:pt idx="0">
                  <c:v>0</c:v>
                </c:pt>
                <c:pt idx="1">
                  <c:v>0</c:v>
                </c:pt>
                <c:pt idx="2">
                  <c:v>1</c:v>
                </c:pt>
                <c:pt idx="3">
                  <c:v>3</c:v>
                </c:pt>
                <c:pt idx="4">
                  <c:v>13</c:v>
                </c:pt>
              </c:numCache>
            </c:numRef>
          </c:val>
        </c:ser>
        <c:dLbls>
          <c:dLblPos val="ctr"/>
          <c:showLegendKey val="0"/>
          <c:showVal val="1"/>
          <c:showCatName val="0"/>
          <c:showSerName val="0"/>
          <c:showPercent val="0"/>
          <c:showBubbleSize val="0"/>
        </c:dLbls>
        <c:gapWidth val="150"/>
        <c:overlap val="100"/>
        <c:axId val="208556032"/>
        <c:axId val="208557568"/>
      </c:barChart>
      <c:catAx>
        <c:axId val="208556032"/>
        <c:scaling>
          <c:orientation val="minMax"/>
        </c:scaling>
        <c:delete val="0"/>
        <c:axPos val="b"/>
        <c:majorTickMark val="out"/>
        <c:minorTickMark val="none"/>
        <c:tickLblPos val="nextTo"/>
        <c:crossAx val="208557568"/>
        <c:crosses val="autoZero"/>
        <c:auto val="1"/>
        <c:lblAlgn val="ctr"/>
        <c:lblOffset val="100"/>
        <c:noMultiLvlLbl val="0"/>
      </c:catAx>
      <c:valAx>
        <c:axId val="208557568"/>
        <c:scaling>
          <c:orientation val="minMax"/>
        </c:scaling>
        <c:delete val="0"/>
        <c:axPos val="l"/>
        <c:majorGridlines/>
        <c:title>
          <c:tx>
            <c:rich>
              <a:bodyPr rot="0" vert="wordArtVertRtl"/>
              <a:lstStyle/>
              <a:p>
                <a:pPr>
                  <a:defRPr sz="1100"/>
                </a:pPr>
                <a:r>
                  <a:rPr lang="zh-CN" altLang="en-US" sz="1100"/>
                  <a:t>对核心能力重要性的认识程度</a:t>
                </a:r>
              </a:p>
            </c:rich>
          </c:tx>
          <c:layout>
            <c:manualLayout>
              <c:xMode val="edge"/>
              <c:yMode val="edge"/>
              <c:x val="3.0555555555555555E-2"/>
              <c:y val="0.13565981335666374"/>
            </c:manualLayout>
          </c:layout>
          <c:overlay val="0"/>
        </c:title>
        <c:numFmt formatCode="General" sourceLinked="1"/>
        <c:majorTickMark val="out"/>
        <c:minorTickMark val="none"/>
        <c:tickLblPos val="nextTo"/>
        <c:crossAx val="208556032"/>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个人和团队</a:t>
            </a:r>
          </a:p>
        </c:rich>
      </c:tx>
      <c:overlay val="0"/>
    </c:title>
    <c:autoTitleDeleted val="0"/>
    <c:plotArea>
      <c:layout>
        <c:manualLayout>
          <c:layoutTarget val="inner"/>
          <c:xMode val="edge"/>
          <c:yMode val="edge"/>
          <c:x val="0.13653018372703413"/>
          <c:y val="0.17732648002333043"/>
          <c:w val="0.81346981627296577"/>
          <c:h val="0.63724919801691449"/>
        </c:manualLayout>
      </c:layout>
      <c:barChart>
        <c:barDir val="col"/>
        <c:grouping val="stacked"/>
        <c:varyColors val="0"/>
        <c:ser>
          <c:idx val="0"/>
          <c:order val="0"/>
          <c:invertIfNegative val="0"/>
          <c:val>
            <c:numRef>
              <c:f>Sheet1!$I$108:$I$112</c:f>
              <c:numCache>
                <c:formatCode>General</c:formatCode>
                <c:ptCount val="5"/>
                <c:pt idx="0">
                  <c:v>0</c:v>
                </c:pt>
                <c:pt idx="1">
                  <c:v>0</c:v>
                </c:pt>
                <c:pt idx="2">
                  <c:v>1</c:v>
                </c:pt>
                <c:pt idx="3">
                  <c:v>3</c:v>
                </c:pt>
                <c:pt idx="4">
                  <c:v>13</c:v>
                </c:pt>
              </c:numCache>
            </c:numRef>
          </c:val>
        </c:ser>
        <c:dLbls>
          <c:dLblPos val="ctr"/>
          <c:showLegendKey val="0"/>
          <c:showVal val="1"/>
          <c:showCatName val="0"/>
          <c:showSerName val="0"/>
          <c:showPercent val="0"/>
          <c:showBubbleSize val="0"/>
        </c:dLbls>
        <c:gapWidth val="150"/>
        <c:overlap val="100"/>
        <c:axId val="208575104"/>
        <c:axId val="208638336"/>
      </c:barChart>
      <c:catAx>
        <c:axId val="208575104"/>
        <c:scaling>
          <c:orientation val="minMax"/>
        </c:scaling>
        <c:delete val="0"/>
        <c:axPos val="b"/>
        <c:majorTickMark val="out"/>
        <c:minorTickMark val="none"/>
        <c:tickLblPos val="nextTo"/>
        <c:crossAx val="208638336"/>
        <c:crosses val="autoZero"/>
        <c:auto val="1"/>
        <c:lblAlgn val="ctr"/>
        <c:lblOffset val="100"/>
        <c:noMultiLvlLbl val="0"/>
      </c:catAx>
      <c:valAx>
        <c:axId val="208638336"/>
        <c:scaling>
          <c:orientation val="minMax"/>
        </c:scaling>
        <c:delete val="0"/>
        <c:axPos val="l"/>
        <c:majorGridlines/>
        <c:title>
          <c:tx>
            <c:rich>
              <a:bodyPr rot="0" vert="wordArtVertRtl"/>
              <a:lstStyle/>
              <a:p>
                <a:pPr>
                  <a:defRPr sz="1100"/>
                </a:pPr>
                <a:r>
                  <a:rPr lang="zh-CN" altLang="zh-CN" sz="1100" b="1" i="0" baseline="0">
                    <a:effectLst/>
                  </a:rPr>
                  <a:t>毕业生的表现</a:t>
                </a:r>
                <a:endParaRPr lang="zh-CN" altLang="zh-CN" sz="1100">
                  <a:effectLst/>
                </a:endParaRPr>
              </a:p>
            </c:rich>
          </c:tx>
          <c:layout>
            <c:manualLayout>
              <c:xMode val="edge"/>
              <c:yMode val="edge"/>
              <c:x val="2.5102168977344089E-2"/>
              <c:y val="0.24846285739054189"/>
            </c:manualLayout>
          </c:layout>
          <c:overlay val="0"/>
        </c:title>
        <c:numFmt formatCode="General" sourceLinked="1"/>
        <c:majorTickMark val="out"/>
        <c:minorTickMark val="none"/>
        <c:tickLblPos val="nextTo"/>
        <c:crossAx val="208575104"/>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个人和团队</a:t>
            </a:r>
          </a:p>
        </c:rich>
      </c:tx>
      <c:overlay val="0"/>
    </c:title>
    <c:autoTitleDeleted val="0"/>
    <c:plotArea>
      <c:layout>
        <c:manualLayout>
          <c:layoutTarget val="inner"/>
          <c:xMode val="edge"/>
          <c:yMode val="edge"/>
          <c:x val="0.13876780834494454"/>
          <c:y val="0.17224289107958712"/>
          <c:w val="0.80636250715574143"/>
          <c:h val="0.67462997001235414"/>
        </c:manualLayout>
      </c:layout>
      <c:barChart>
        <c:barDir val="col"/>
        <c:grouping val="stacked"/>
        <c:varyColors val="0"/>
        <c:ser>
          <c:idx val="0"/>
          <c:order val="0"/>
          <c:invertIfNegative val="0"/>
          <c:val>
            <c:numRef>
              <c:f>Sheet1!$I$143:$I$147</c:f>
              <c:numCache>
                <c:formatCode>General</c:formatCode>
                <c:ptCount val="5"/>
                <c:pt idx="0">
                  <c:v>0</c:v>
                </c:pt>
                <c:pt idx="1">
                  <c:v>0</c:v>
                </c:pt>
                <c:pt idx="2">
                  <c:v>1</c:v>
                </c:pt>
                <c:pt idx="3">
                  <c:v>2</c:v>
                </c:pt>
                <c:pt idx="4">
                  <c:v>14</c:v>
                </c:pt>
              </c:numCache>
            </c:numRef>
          </c:val>
        </c:ser>
        <c:dLbls>
          <c:dLblPos val="ctr"/>
          <c:showLegendKey val="0"/>
          <c:showVal val="1"/>
          <c:showCatName val="0"/>
          <c:showSerName val="0"/>
          <c:showPercent val="0"/>
          <c:showBubbleSize val="0"/>
        </c:dLbls>
        <c:gapWidth val="150"/>
        <c:overlap val="100"/>
        <c:axId val="242546176"/>
        <c:axId val="242547712"/>
      </c:barChart>
      <c:catAx>
        <c:axId val="242546176"/>
        <c:scaling>
          <c:orientation val="minMax"/>
        </c:scaling>
        <c:delete val="0"/>
        <c:axPos val="b"/>
        <c:majorTickMark val="out"/>
        <c:minorTickMark val="none"/>
        <c:tickLblPos val="nextTo"/>
        <c:crossAx val="242547712"/>
        <c:crosses val="autoZero"/>
        <c:auto val="1"/>
        <c:lblAlgn val="ctr"/>
        <c:lblOffset val="100"/>
        <c:noMultiLvlLbl val="0"/>
      </c:catAx>
      <c:valAx>
        <c:axId val="242547712"/>
        <c:scaling>
          <c:orientation val="minMax"/>
          <c:max val="14"/>
        </c:scaling>
        <c:delete val="0"/>
        <c:axPos val="l"/>
        <c:majorGridlines/>
        <c:title>
          <c:tx>
            <c:rich>
              <a:bodyPr rot="0" vert="wordArtVertRtl"/>
              <a:lstStyle/>
              <a:p>
                <a:pPr>
                  <a:defRPr sz="1100"/>
                </a:pPr>
                <a:r>
                  <a:rPr lang="zh-CN" altLang="en-US" sz="1100"/>
                  <a:t>对核心能力重要性的认识程度</a:t>
                </a:r>
              </a:p>
            </c:rich>
          </c:tx>
          <c:layout>
            <c:manualLayout>
              <c:xMode val="edge"/>
              <c:yMode val="edge"/>
              <c:x val="3.017832647462277E-2"/>
              <c:y val="0.10478927738944246"/>
            </c:manualLayout>
          </c:layout>
          <c:overlay val="0"/>
        </c:title>
        <c:numFmt formatCode="General" sourceLinked="1"/>
        <c:majorTickMark val="out"/>
        <c:minorTickMark val="none"/>
        <c:tickLblPos val="nextTo"/>
        <c:crossAx val="242546176"/>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沟通</a:t>
            </a:r>
          </a:p>
        </c:rich>
      </c:tx>
      <c:overlay val="0"/>
    </c:title>
    <c:autoTitleDeleted val="0"/>
    <c:plotArea>
      <c:layout>
        <c:manualLayout>
          <c:layoutTarget val="inner"/>
          <c:xMode val="edge"/>
          <c:yMode val="edge"/>
          <c:x val="0.14050240594925634"/>
          <c:y val="0.17732648002333043"/>
          <c:w val="0.80671981627296596"/>
          <c:h val="0.66039734616506263"/>
        </c:manualLayout>
      </c:layout>
      <c:barChart>
        <c:barDir val="col"/>
        <c:grouping val="stacked"/>
        <c:varyColors val="0"/>
        <c:ser>
          <c:idx val="0"/>
          <c:order val="0"/>
          <c:invertIfNegative val="0"/>
          <c:val>
            <c:numRef>
              <c:f>Sheet1!$A$161:$A$165</c:f>
              <c:numCache>
                <c:formatCode>General</c:formatCode>
                <c:ptCount val="5"/>
                <c:pt idx="0">
                  <c:v>0</c:v>
                </c:pt>
                <c:pt idx="1">
                  <c:v>0</c:v>
                </c:pt>
                <c:pt idx="2">
                  <c:v>3</c:v>
                </c:pt>
                <c:pt idx="3">
                  <c:v>4</c:v>
                </c:pt>
                <c:pt idx="4">
                  <c:v>10</c:v>
                </c:pt>
              </c:numCache>
            </c:numRef>
          </c:val>
        </c:ser>
        <c:dLbls>
          <c:dLblPos val="ctr"/>
          <c:showLegendKey val="0"/>
          <c:showVal val="1"/>
          <c:showCatName val="0"/>
          <c:showSerName val="0"/>
          <c:showPercent val="0"/>
          <c:showBubbleSize val="0"/>
        </c:dLbls>
        <c:gapWidth val="150"/>
        <c:overlap val="100"/>
        <c:axId val="242749824"/>
        <c:axId val="242751360"/>
      </c:barChart>
      <c:catAx>
        <c:axId val="242749824"/>
        <c:scaling>
          <c:orientation val="minMax"/>
        </c:scaling>
        <c:delete val="0"/>
        <c:axPos val="b"/>
        <c:majorTickMark val="out"/>
        <c:minorTickMark val="none"/>
        <c:tickLblPos val="nextTo"/>
        <c:crossAx val="242751360"/>
        <c:crosses val="autoZero"/>
        <c:auto val="1"/>
        <c:lblAlgn val="ctr"/>
        <c:lblOffset val="100"/>
        <c:noMultiLvlLbl val="0"/>
      </c:catAx>
      <c:valAx>
        <c:axId val="242751360"/>
        <c:scaling>
          <c:orientation val="minMax"/>
        </c:scaling>
        <c:delete val="0"/>
        <c:axPos val="l"/>
        <c:majorGridlines/>
        <c:title>
          <c:tx>
            <c:rich>
              <a:bodyPr rot="0" vert="wordArtVertRtl"/>
              <a:lstStyle/>
              <a:p>
                <a:pPr>
                  <a:defRPr sz="1100"/>
                </a:pPr>
                <a:r>
                  <a:rPr lang="zh-CN" altLang="zh-CN" sz="1100" b="1" i="0" baseline="0">
                    <a:effectLst/>
                  </a:rPr>
                  <a:t>毕业生的表现</a:t>
                </a:r>
                <a:endParaRPr lang="zh-CN" altLang="zh-CN" sz="1100">
                  <a:effectLst/>
                </a:endParaRPr>
              </a:p>
            </c:rich>
          </c:tx>
          <c:overlay val="0"/>
        </c:title>
        <c:numFmt formatCode="General" sourceLinked="1"/>
        <c:majorTickMark val="out"/>
        <c:minorTickMark val="none"/>
        <c:tickLblPos val="nextTo"/>
        <c:crossAx val="24274982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工程知识</a:t>
            </a:r>
          </a:p>
        </c:rich>
      </c:tx>
      <c:overlay val="0"/>
    </c:title>
    <c:autoTitleDeleted val="0"/>
    <c:plotArea>
      <c:layout>
        <c:manualLayout>
          <c:layoutTarget val="inner"/>
          <c:xMode val="edge"/>
          <c:yMode val="edge"/>
          <c:x val="0.13249735728024201"/>
          <c:y val="0.161870157666689"/>
          <c:w val="0.723429296288848"/>
          <c:h val="0.63505890080884797"/>
        </c:manualLayout>
      </c:layout>
      <c:barChart>
        <c:barDir val="col"/>
        <c:grouping val="stacked"/>
        <c:varyColors val="0"/>
        <c:ser>
          <c:idx val="0"/>
          <c:order val="0"/>
          <c:invertIfNegative val="0"/>
          <c:val>
            <c:numRef>
              <c:f>Sheet1!$I$1:$I$5</c:f>
              <c:numCache>
                <c:formatCode>General</c:formatCode>
                <c:ptCount val="5"/>
                <c:pt idx="0">
                  <c:v>0</c:v>
                </c:pt>
                <c:pt idx="1">
                  <c:v>0</c:v>
                </c:pt>
                <c:pt idx="2">
                  <c:v>2</c:v>
                </c:pt>
                <c:pt idx="3">
                  <c:v>6</c:v>
                </c:pt>
                <c:pt idx="4">
                  <c:v>9</c:v>
                </c:pt>
              </c:numCache>
            </c:numRef>
          </c:val>
        </c:ser>
        <c:dLbls>
          <c:dLblPos val="ctr"/>
          <c:showLegendKey val="0"/>
          <c:showVal val="1"/>
          <c:showCatName val="0"/>
          <c:showSerName val="0"/>
          <c:showPercent val="0"/>
          <c:showBubbleSize val="0"/>
        </c:dLbls>
        <c:gapWidth val="150"/>
        <c:overlap val="100"/>
        <c:axId val="207070336"/>
        <c:axId val="207071872"/>
      </c:barChart>
      <c:catAx>
        <c:axId val="2070703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7071872"/>
        <c:crosses val="autoZero"/>
        <c:auto val="1"/>
        <c:lblAlgn val="ctr"/>
        <c:lblOffset val="100"/>
        <c:noMultiLvlLbl val="0"/>
      </c:catAx>
      <c:valAx>
        <c:axId val="207071872"/>
        <c:scaling>
          <c:orientation val="minMax"/>
          <c:max val="12"/>
        </c:scaling>
        <c:delete val="0"/>
        <c:axPos val="l"/>
        <c:majorGridlines/>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sz="1100"/>
                  <a:t>对核心能力重要性的认识程度</a:t>
                </a:r>
              </a:p>
            </c:rich>
          </c:tx>
          <c:layout>
            <c:manualLayout>
              <c:xMode val="edge"/>
              <c:yMode val="edge"/>
              <c:x val="3.0080699637496197E-2"/>
              <c:y val="0.1098279379608982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7070336"/>
        <c:crosses val="autoZero"/>
        <c:crossBetween val="between"/>
        <c:majorUnit val="2"/>
      </c:valAx>
    </c:plotArea>
    <c:plotVisOnly val="1"/>
    <c:dispBlanksAs val="gap"/>
    <c:showDLblsOverMax val="0"/>
  </c:chart>
  <c:txPr>
    <a:bodyPr/>
    <a:lstStyle/>
    <a:p>
      <a:pPr>
        <a:defRPr lang="zh-CN"/>
      </a:pPr>
      <a:endParaRPr lang="zh-CN"/>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沟通</a:t>
            </a:r>
          </a:p>
        </c:rich>
      </c:tx>
      <c:overlay val="0"/>
    </c:title>
    <c:autoTitleDeleted val="0"/>
    <c:plotArea>
      <c:layout>
        <c:manualLayout>
          <c:layoutTarget val="inner"/>
          <c:xMode val="edge"/>
          <c:yMode val="edge"/>
          <c:x val="0.1399194084141972"/>
          <c:y val="0.16995020022625462"/>
          <c:w val="0.81305431219437829"/>
          <c:h val="0.67008680547063826"/>
        </c:manualLayout>
      </c:layout>
      <c:barChart>
        <c:barDir val="col"/>
        <c:grouping val="stacked"/>
        <c:varyColors val="0"/>
        <c:ser>
          <c:idx val="0"/>
          <c:order val="0"/>
          <c:invertIfNegative val="0"/>
          <c:val>
            <c:numRef>
              <c:f>Sheet1!$I$161:$I$165</c:f>
              <c:numCache>
                <c:formatCode>General</c:formatCode>
                <c:ptCount val="5"/>
                <c:pt idx="0">
                  <c:v>0</c:v>
                </c:pt>
                <c:pt idx="1">
                  <c:v>0</c:v>
                </c:pt>
                <c:pt idx="2">
                  <c:v>1</c:v>
                </c:pt>
                <c:pt idx="3">
                  <c:v>4</c:v>
                </c:pt>
                <c:pt idx="4">
                  <c:v>12</c:v>
                </c:pt>
              </c:numCache>
            </c:numRef>
          </c:val>
        </c:ser>
        <c:dLbls>
          <c:dLblPos val="ctr"/>
          <c:showLegendKey val="0"/>
          <c:showVal val="1"/>
          <c:showCatName val="0"/>
          <c:showSerName val="0"/>
          <c:showPercent val="0"/>
          <c:showBubbleSize val="0"/>
        </c:dLbls>
        <c:gapWidth val="150"/>
        <c:overlap val="100"/>
        <c:axId val="242879488"/>
        <c:axId val="242991872"/>
      </c:barChart>
      <c:catAx>
        <c:axId val="242879488"/>
        <c:scaling>
          <c:orientation val="minMax"/>
        </c:scaling>
        <c:delete val="0"/>
        <c:axPos val="b"/>
        <c:majorTickMark val="out"/>
        <c:minorTickMark val="none"/>
        <c:tickLblPos val="nextTo"/>
        <c:crossAx val="242991872"/>
        <c:crosses val="autoZero"/>
        <c:auto val="1"/>
        <c:lblAlgn val="ctr"/>
        <c:lblOffset val="100"/>
        <c:noMultiLvlLbl val="0"/>
      </c:catAx>
      <c:valAx>
        <c:axId val="242991872"/>
        <c:scaling>
          <c:orientation val="minMax"/>
        </c:scaling>
        <c:delete val="0"/>
        <c:axPos val="l"/>
        <c:majorGridlines/>
        <c:title>
          <c:tx>
            <c:rich>
              <a:bodyPr rot="0" vert="wordArtVertRtl"/>
              <a:lstStyle/>
              <a:p>
                <a:pPr>
                  <a:defRPr sz="1100"/>
                </a:pPr>
                <a:r>
                  <a:rPr lang="zh-CN" altLang="zh-CN" sz="1100" b="1" i="0" baseline="0">
                    <a:effectLst/>
                  </a:rPr>
                  <a:t>对核心能力重要性的认识程度</a:t>
                </a:r>
                <a:endParaRPr lang="zh-CN" altLang="zh-CN" sz="1100">
                  <a:effectLst/>
                </a:endParaRPr>
              </a:p>
            </c:rich>
          </c:tx>
          <c:layout>
            <c:manualLayout>
              <c:xMode val="edge"/>
              <c:yMode val="edge"/>
              <c:x val="2.4896265560165973E-2"/>
              <c:y val="0.11670559857902596"/>
            </c:manualLayout>
          </c:layout>
          <c:overlay val="0"/>
        </c:title>
        <c:numFmt formatCode="General" sourceLinked="1"/>
        <c:majorTickMark val="out"/>
        <c:minorTickMark val="none"/>
        <c:tickLblPos val="nextTo"/>
        <c:crossAx val="242879488"/>
        <c:crosses val="autoZero"/>
        <c:crossBetween val="between"/>
      </c:valAx>
    </c:plotArea>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项目管理</a:t>
            </a:r>
          </a:p>
        </c:rich>
      </c:tx>
      <c:overlay val="0"/>
    </c:title>
    <c:autoTitleDeleted val="0"/>
    <c:plotArea>
      <c:layout>
        <c:manualLayout>
          <c:layoutTarget val="inner"/>
          <c:xMode val="edge"/>
          <c:yMode val="edge"/>
          <c:x val="0.14050240594925634"/>
          <c:y val="0.17732648002333043"/>
          <c:w val="0.82060870516185491"/>
          <c:h val="0.64650845727617368"/>
        </c:manualLayout>
      </c:layout>
      <c:barChart>
        <c:barDir val="col"/>
        <c:grouping val="stacked"/>
        <c:varyColors val="0"/>
        <c:ser>
          <c:idx val="0"/>
          <c:order val="0"/>
          <c:invertIfNegative val="0"/>
          <c:val>
            <c:numRef>
              <c:f>Sheet1!$A$178:$A$182</c:f>
              <c:numCache>
                <c:formatCode>General</c:formatCode>
                <c:ptCount val="5"/>
                <c:pt idx="0">
                  <c:v>0</c:v>
                </c:pt>
                <c:pt idx="1">
                  <c:v>0</c:v>
                </c:pt>
                <c:pt idx="2">
                  <c:v>3</c:v>
                </c:pt>
                <c:pt idx="3">
                  <c:v>5</c:v>
                </c:pt>
                <c:pt idx="4">
                  <c:v>9</c:v>
                </c:pt>
              </c:numCache>
            </c:numRef>
          </c:val>
        </c:ser>
        <c:dLbls>
          <c:dLblPos val="ctr"/>
          <c:showLegendKey val="0"/>
          <c:showVal val="1"/>
          <c:showCatName val="0"/>
          <c:showSerName val="0"/>
          <c:showPercent val="0"/>
          <c:showBubbleSize val="0"/>
        </c:dLbls>
        <c:gapWidth val="150"/>
        <c:overlap val="100"/>
        <c:axId val="243038080"/>
        <c:axId val="243039616"/>
      </c:barChart>
      <c:catAx>
        <c:axId val="243038080"/>
        <c:scaling>
          <c:orientation val="minMax"/>
        </c:scaling>
        <c:delete val="0"/>
        <c:axPos val="b"/>
        <c:majorTickMark val="out"/>
        <c:minorTickMark val="none"/>
        <c:tickLblPos val="nextTo"/>
        <c:crossAx val="243039616"/>
        <c:crosses val="autoZero"/>
        <c:auto val="1"/>
        <c:lblAlgn val="ctr"/>
        <c:lblOffset val="100"/>
        <c:noMultiLvlLbl val="0"/>
      </c:catAx>
      <c:valAx>
        <c:axId val="243039616"/>
        <c:scaling>
          <c:orientation val="minMax"/>
          <c:max val="12"/>
        </c:scaling>
        <c:delete val="0"/>
        <c:axPos val="l"/>
        <c:majorGridlines/>
        <c:title>
          <c:tx>
            <c:rich>
              <a:bodyPr rot="0" vert="wordArtVertRtl"/>
              <a:lstStyle/>
              <a:p>
                <a:pPr>
                  <a:defRPr sz="1100"/>
                </a:pPr>
                <a:r>
                  <a:rPr lang="zh-CN" altLang="zh-CN" sz="1100" b="1" i="0" baseline="0">
                    <a:effectLst/>
                  </a:rPr>
                  <a:t>毕业生的表现</a:t>
                </a:r>
                <a:endParaRPr lang="zh-CN" altLang="zh-CN" sz="1100">
                  <a:effectLst/>
                </a:endParaRPr>
              </a:p>
            </c:rich>
          </c:tx>
          <c:overlay val="0"/>
        </c:title>
        <c:numFmt formatCode="General" sourceLinked="1"/>
        <c:majorTickMark val="out"/>
        <c:minorTickMark val="none"/>
        <c:tickLblPos val="nextTo"/>
        <c:crossAx val="243038080"/>
        <c:crosses val="autoZero"/>
        <c:crossBetween val="between"/>
        <c:majorUnit val="2"/>
      </c:valAx>
    </c:plotArea>
    <c:plotVisOnly val="1"/>
    <c:dispBlanksAs val="gap"/>
    <c:showDLblsOverMax val="0"/>
  </c:chart>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项目管理</a:t>
            </a:r>
          </a:p>
        </c:rich>
      </c:tx>
      <c:overlay val="0"/>
    </c:title>
    <c:autoTitleDeleted val="0"/>
    <c:plotArea>
      <c:layout>
        <c:manualLayout>
          <c:layoutTarget val="inner"/>
          <c:xMode val="edge"/>
          <c:yMode val="edge"/>
          <c:x val="0.13848286417996519"/>
          <c:y val="0.17166398406034258"/>
          <c:w val="0.81771152322592133"/>
          <c:h val="0.66227815563257342"/>
        </c:manualLayout>
      </c:layout>
      <c:barChart>
        <c:barDir val="col"/>
        <c:grouping val="stacked"/>
        <c:varyColors val="0"/>
        <c:ser>
          <c:idx val="0"/>
          <c:order val="0"/>
          <c:invertIfNegative val="0"/>
          <c:val>
            <c:numRef>
              <c:f>Sheet1!$I$178:$I$182</c:f>
              <c:numCache>
                <c:formatCode>General</c:formatCode>
                <c:ptCount val="5"/>
                <c:pt idx="0">
                  <c:v>0</c:v>
                </c:pt>
                <c:pt idx="1">
                  <c:v>0</c:v>
                </c:pt>
                <c:pt idx="2">
                  <c:v>1</c:v>
                </c:pt>
                <c:pt idx="3">
                  <c:v>5</c:v>
                </c:pt>
                <c:pt idx="4">
                  <c:v>11</c:v>
                </c:pt>
              </c:numCache>
            </c:numRef>
          </c:val>
        </c:ser>
        <c:dLbls>
          <c:dLblPos val="ctr"/>
          <c:showLegendKey val="0"/>
          <c:showVal val="1"/>
          <c:showCatName val="0"/>
          <c:showSerName val="0"/>
          <c:showPercent val="0"/>
          <c:showBubbleSize val="0"/>
        </c:dLbls>
        <c:gapWidth val="150"/>
        <c:overlap val="100"/>
        <c:axId val="249774464"/>
        <c:axId val="249776000"/>
      </c:barChart>
      <c:catAx>
        <c:axId val="249774464"/>
        <c:scaling>
          <c:orientation val="minMax"/>
        </c:scaling>
        <c:delete val="0"/>
        <c:axPos val="b"/>
        <c:majorTickMark val="out"/>
        <c:minorTickMark val="none"/>
        <c:tickLblPos val="nextTo"/>
        <c:crossAx val="249776000"/>
        <c:crosses val="autoZero"/>
        <c:auto val="1"/>
        <c:lblAlgn val="ctr"/>
        <c:lblOffset val="100"/>
        <c:noMultiLvlLbl val="0"/>
      </c:catAx>
      <c:valAx>
        <c:axId val="249776000"/>
        <c:scaling>
          <c:orientation val="minMax"/>
        </c:scaling>
        <c:delete val="0"/>
        <c:axPos val="l"/>
        <c:majorGridlines/>
        <c:title>
          <c:tx>
            <c:rich>
              <a:bodyPr rot="0" vert="wordArtVertRtl"/>
              <a:lstStyle/>
              <a:p>
                <a:pPr>
                  <a:defRPr sz="1100"/>
                </a:pPr>
                <a:r>
                  <a:rPr lang="zh-CN" altLang="zh-CN" sz="1100" b="1" i="0" baseline="0">
                    <a:effectLst/>
                  </a:rPr>
                  <a:t>对核心能力重要性的认识程度</a:t>
                </a:r>
                <a:endParaRPr lang="zh-CN" altLang="zh-CN" sz="1100">
                  <a:effectLst/>
                </a:endParaRPr>
              </a:p>
            </c:rich>
          </c:tx>
          <c:layout>
            <c:manualLayout>
              <c:xMode val="edge"/>
              <c:yMode val="edge"/>
              <c:x val="3.0116358658453114E-2"/>
              <c:y val="0.10443708144195178"/>
            </c:manualLayout>
          </c:layout>
          <c:overlay val="0"/>
        </c:title>
        <c:numFmt formatCode="General" sourceLinked="1"/>
        <c:majorTickMark val="out"/>
        <c:minorTickMark val="none"/>
        <c:tickLblPos val="nextTo"/>
        <c:crossAx val="249774464"/>
        <c:crosses val="autoZero"/>
        <c:crossBetween val="between"/>
      </c:valAx>
    </c:plotArea>
    <c:plotVisOnly val="1"/>
    <c:dispBlanksAs val="gap"/>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终身学习</a:t>
            </a:r>
          </a:p>
        </c:rich>
      </c:tx>
      <c:overlay val="0"/>
    </c:title>
    <c:autoTitleDeleted val="0"/>
    <c:plotArea>
      <c:layout>
        <c:manualLayout>
          <c:layoutTarget val="inner"/>
          <c:xMode val="edge"/>
          <c:yMode val="edge"/>
          <c:x val="0.14050240594925634"/>
          <c:y val="0.17732648002333043"/>
          <c:w val="0.80949759405074373"/>
          <c:h val="0.65576771653543298"/>
        </c:manualLayout>
      </c:layout>
      <c:barChart>
        <c:barDir val="col"/>
        <c:grouping val="stacked"/>
        <c:varyColors val="0"/>
        <c:ser>
          <c:idx val="0"/>
          <c:order val="0"/>
          <c:invertIfNegative val="0"/>
          <c:val>
            <c:numRef>
              <c:f>Sheet1!$A$196:$A$200</c:f>
              <c:numCache>
                <c:formatCode>General</c:formatCode>
                <c:ptCount val="5"/>
                <c:pt idx="0">
                  <c:v>0</c:v>
                </c:pt>
                <c:pt idx="1">
                  <c:v>0</c:v>
                </c:pt>
                <c:pt idx="2">
                  <c:v>2</c:v>
                </c:pt>
                <c:pt idx="3">
                  <c:v>3</c:v>
                </c:pt>
                <c:pt idx="4">
                  <c:v>12</c:v>
                </c:pt>
              </c:numCache>
            </c:numRef>
          </c:val>
        </c:ser>
        <c:dLbls>
          <c:dLblPos val="ctr"/>
          <c:showLegendKey val="0"/>
          <c:showVal val="1"/>
          <c:showCatName val="0"/>
          <c:showSerName val="0"/>
          <c:showPercent val="0"/>
          <c:showBubbleSize val="0"/>
        </c:dLbls>
        <c:gapWidth val="150"/>
        <c:overlap val="100"/>
        <c:axId val="249822208"/>
        <c:axId val="249856768"/>
      </c:barChart>
      <c:catAx>
        <c:axId val="249822208"/>
        <c:scaling>
          <c:orientation val="minMax"/>
        </c:scaling>
        <c:delete val="0"/>
        <c:axPos val="b"/>
        <c:majorTickMark val="out"/>
        <c:minorTickMark val="none"/>
        <c:tickLblPos val="nextTo"/>
        <c:crossAx val="249856768"/>
        <c:crosses val="autoZero"/>
        <c:auto val="1"/>
        <c:lblAlgn val="ctr"/>
        <c:lblOffset val="100"/>
        <c:noMultiLvlLbl val="0"/>
      </c:catAx>
      <c:valAx>
        <c:axId val="249856768"/>
        <c:scaling>
          <c:orientation val="minMax"/>
        </c:scaling>
        <c:delete val="0"/>
        <c:axPos val="l"/>
        <c:majorGridlines/>
        <c:title>
          <c:tx>
            <c:rich>
              <a:bodyPr rot="0" vert="wordArtVertRtl"/>
              <a:lstStyle/>
              <a:p>
                <a:pPr>
                  <a:defRPr sz="1100"/>
                </a:pPr>
                <a:r>
                  <a:rPr lang="zh-CN" altLang="zh-CN" sz="1100" b="1" i="0" baseline="0">
                    <a:effectLst/>
                  </a:rPr>
                  <a:t>毕业生的表现</a:t>
                </a:r>
                <a:endParaRPr lang="zh-CN" altLang="zh-CN" sz="1100">
                  <a:effectLst/>
                </a:endParaRPr>
              </a:p>
            </c:rich>
          </c:tx>
          <c:overlay val="0"/>
        </c:title>
        <c:numFmt formatCode="General" sourceLinked="1"/>
        <c:majorTickMark val="out"/>
        <c:minorTickMark val="none"/>
        <c:tickLblPos val="nextTo"/>
        <c:crossAx val="249822208"/>
        <c:crosses val="autoZero"/>
        <c:crossBetween val="between"/>
      </c:valAx>
    </c:plotArea>
    <c:plotVisOnly val="1"/>
    <c:dispBlanksAs val="gap"/>
    <c:showDLblsOverMax val="0"/>
  </c:chart>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终身学习</a:t>
            </a:r>
          </a:p>
        </c:rich>
      </c:tx>
      <c:overlay val="0"/>
    </c:title>
    <c:autoTitleDeleted val="0"/>
    <c:plotArea>
      <c:layout>
        <c:manualLayout>
          <c:layoutTarget val="inner"/>
          <c:xMode val="edge"/>
          <c:yMode val="edge"/>
          <c:x val="0.1399194084141972"/>
          <c:y val="0.16716869074297386"/>
          <c:w val="0.80475555700765633"/>
          <c:h val="0.67985079832996953"/>
        </c:manualLayout>
      </c:layout>
      <c:barChart>
        <c:barDir val="col"/>
        <c:grouping val="stacked"/>
        <c:varyColors val="0"/>
        <c:ser>
          <c:idx val="0"/>
          <c:order val="0"/>
          <c:invertIfNegative val="0"/>
          <c:val>
            <c:numRef>
              <c:f>Sheet1!$I$197:$I$201</c:f>
              <c:numCache>
                <c:formatCode>General</c:formatCode>
                <c:ptCount val="5"/>
                <c:pt idx="0">
                  <c:v>0</c:v>
                </c:pt>
                <c:pt idx="1">
                  <c:v>0</c:v>
                </c:pt>
                <c:pt idx="2">
                  <c:v>1</c:v>
                </c:pt>
                <c:pt idx="3">
                  <c:v>2</c:v>
                </c:pt>
                <c:pt idx="4">
                  <c:v>14</c:v>
                </c:pt>
              </c:numCache>
            </c:numRef>
          </c:val>
        </c:ser>
        <c:dLbls>
          <c:dLblPos val="ctr"/>
          <c:showLegendKey val="0"/>
          <c:showVal val="1"/>
          <c:showCatName val="0"/>
          <c:showSerName val="0"/>
          <c:showPercent val="0"/>
          <c:showBubbleSize val="0"/>
        </c:dLbls>
        <c:gapWidth val="150"/>
        <c:overlap val="100"/>
        <c:axId val="249882496"/>
        <c:axId val="249884032"/>
      </c:barChart>
      <c:catAx>
        <c:axId val="249882496"/>
        <c:scaling>
          <c:orientation val="minMax"/>
        </c:scaling>
        <c:delete val="0"/>
        <c:axPos val="b"/>
        <c:majorTickMark val="out"/>
        <c:minorTickMark val="none"/>
        <c:tickLblPos val="nextTo"/>
        <c:crossAx val="249884032"/>
        <c:crosses val="autoZero"/>
        <c:auto val="1"/>
        <c:lblAlgn val="ctr"/>
        <c:lblOffset val="100"/>
        <c:noMultiLvlLbl val="0"/>
      </c:catAx>
      <c:valAx>
        <c:axId val="249884032"/>
        <c:scaling>
          <c:orientation val="minMax"/>
          <c:max val="14"/>
        </c:scaling>
        <c:delete val="0"/>
        <c:axPos val="l"/>
        <c:majorGridlines/>
        <c:title>
          <c:tx>
            <c:rich>
              <a:bodyPr rot="0" vert="wordArtVertRtl"/>
              <a:lstStyle/>
              <a:p>
                <a:pPr>
                  <a:defRPr sz="1100"/>
                </a:pPr>
                <a:r>
                  <a:rPr lang="zh-CN" altLang="zh-CN" sz="1100" b="1" i="0" baseline="0">
                    <a:effectLst/>
                  </a:rPr>
                  <a:t>对核心能力重要性的认识程度</a:t>
                </a:r>
                <a:endParaRPr lang="zh-CN" altLang="zh-CN" sz="1100">
                  <a:effectLst/>
                </a:endParaRPr>
              </a:p>
            </c:rich>
          </c:tx>
          <c:layout>
            <c:manualLayout>
              <c:xMode val="edge"/>
              <c:yMode val="edge"/>
              <c:x val="2.7662517289073305E-2"/>
              <c:y val="9.7337800402558586E-2"/>
            </c:manualLayout>
          </c:layout>
          <c:overlay val="0"/>
        </c:title>
        <c:numFmt formatCode="General" sourceLinked="1"/>
        <c:majorTickMark val="out"/>
        <c:minorTickMark val="none"/>
        <c:tickLblPos val="nextTo"/>
        <c:crossAx val="24988249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r>
              <a:rPr lang="zh-CN" altLang="en-US" sz="1400"/>
              <a:t>问题分析</a:t>
            </a:r>
          </a:p>
        </c:rich>
      </c:tx>
      <c:layout>
        <c:manualLayout>
          <c:xMode val="edge"/>
          <c:yMode val="edge"/>
          <c:x val="0.39374999999999999"/>
          <c:y val="2.7777777777777801E-2"/>
        </c:manualLayout>
      </c:layout>
      <c:overlay val="0"/>
    </c:title>
    <c:autoTitleDeleted val="0"/>
    <c:plotArea>
      <c:layout>
        <c:manualLayout>
          <c:layoutTarget val="inner"/>
          <c:xMode val="edge"/>
          <c:yMode val="edge"/>
          <c:x val="0.13125000000000001"/>
          <c:y val="0.17662037037037001"/>
          <c:w val="0.8"/>
          <c:h val="0.63078703703703698"/>
        </c:manualLayout>
      </c:layout>
      <c:barChart>
        <c:barDir val="col"/>
        <c:grouping val="stacked"/>
        <c:varyColors val="0"/>
        <c:ser>
          <c:idx val="0"/>
          <c:order val="0"/>
          <c:invertIfNegative val="0"/>
          <c:val>
            <c:numRef>
              <c:f>Sheet1!$I$22:$I$26</c:f>
              <c:numCache>
                <c:formatCode>General</c:formatCode>
                <c:ptCount val="5"/>
                <c:pt idx="0">
                  <c:v>0</c:v>
                </c:pt>
                <c:pt idx="1">
                  <c:v>0</c:v>
                </c:pt>
                <c:pt idx="2">
                  <c:v>2</c:v>
                </c:pt>
                <c:pt idx="3">
                  <c:v>5</c:v>
                </c:pt>
                <c:pt idx="4">
                  <c:v>10</c:v>
                </c:pt>
              </c:numCache>
            </c:numRef>
          </c:val>
        </c:ser>
        <c:dLbls>
          <c:dLblPos val="ctr"/>
          <c:showLegendKey val="0"/>
          <c:showVal val="1"/>
          <c:showCatName val="0"/>
          <c:showSerName val="0"/>
          <c:showPercent val="0"/>
          <c:showBubbleSize val="0"/>
        </c:dLbls>
        <c:gapWidth val="150"/>
        <c:overlap val="100"/>
        <c:axId val="207503360"/>
        <c:axId val="207504896"/>
      </c:barChart>
      <c:catAx>
        <c:axId val="2075033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7504896"/>
        <c:crosses val="autoZero"/>
        <c:auto val="1"/>
        <c:lblAlgn val="ctr"/>
        <c:lblOffset val="100"/>
        <c:noMultiLvlLbl val="0"/>
      </c:catAx>
      <c:valAx>
        <c:axId val="207504896"/>
        <c:scaling>
          <c:orientation val="minMax"/>
        </c:scaling>
        <c:delete val="0"/>
        <c:axPos val="l"/>
        <c:majorGridlines/>
        <c:title>
          <c:tx>
            <c:rich>
              <a:bodyPr rot="0" spcFirstLastPara="0" vertOverflow="ellipsis" vert="wordArtVertRtl" wrap="square" anchor="ctr" anchorCtr="1"/>
              <a:lstStyle/>
              <a:p>
                <a:pPr defTabSz="914400">
                  <a:defRPr lang="zh-CN" sz="1100" b="1" i="0" u="none" strike="noStrike" kern="1200" baseline="0">
                    <a:solidFill>
                      <a:schemeClr val="tx1"/>
                    </a:solidFill>
                    <a:latin typeface="+mn-lt"/>
                    <a:ea typeface="+mn-ea"/>
                    <a:cs typeface="+mn-cs"/>
                  </a:defRPr>
                </a:pPr>
                <a:r>
                  <a:rPr lang="zh-CN" altLang="en-US" sz="1100"/>
                  <a:t>毕业生的表现</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7503360"/>
        <c:crosses val="autoZero"/>
        <c:crossBetween val="between"/>
      </c:valAx>
    </c:plotArea>
    <c:plotVisOnly val="1"/>
    <c:dispBlanksAs val="gap"/>
    <c:showDLblsOverMax val="0"/>
  </c:chart>
  <c:txPr>
    <a:bodyPr/>
    <a:lstStyle/>
    <a:p>
      <a:pPr>
        <a:defRPr lang="zh-CN"/>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r>
              <a:rPr lang="zh-CN" altLang="en-US" sz="1400"/>
              <a:t>问题分析</a:t>
            </a:r>
          </a:p>
        </c:rich>
      </c:tx>
      <c:layout>
        <c:manualLayout>
          <c:xMode val="edge"/>
          <c:yMode val="edge"/>
          <c:x val="0.39374999999999999"/>
          <c:y val="2.7777777777777801E-2"/>
        </c:manualLayout>
      </c:layout>
      <c:overlay val="0"/>
    </c:title>
    <c:autoTitleDeleted val="0"/>
    <c:plotArea>
      <c:layout>
        <c:manualLayout>
          <c:layoutTarget val="inner"/>
          <c:xMode val="edge"/>
          <c:yMode val="edge"/>
          <c:x val="0.13125000000000001"/>
          <c:y val="0.17662037037037001"/>
          <c:w val="0.8"/>
          <c:h val="0.63078703703703698"/>
        </c:manualLayout>
      </c:layout>
      <c:barChart>
        <c:barDir val="col"/>
        <c:grouping val="stacked"/>
        <c:varyColors val="0"/>
        <c:ser>
          <c:idx val="0"/>
          <c:order val="0"/>
          <c:invertIfNegative val="0"/>
          <c:val>
            <c:numRef>
              <c:f>Sheet1!$I$22:$I$26</c:f>
              <c:numCache>
                <c:formatCode>General</c:formatCode>
                <c:ptCount val="5"/>
                <c:pt idx="0">
                  <c:v>0</c:v>
                </c:pt>
                <c:pt idx="1">
                  <c:v>0</c:v>
                </c:pt>
                <c:pt idx="2">
                  <c:v>2</c:v>
                </c:pt>
                <c:pt idx="3">
                  <c:v>5</c:v>
                </c:pt>
                <c:pt idx="4">
                  <c:v>10</c:v>
                </c:pt>
              </c:numCache>
            </c:numRef>
          </c:val>
        </c:ser>
        <c:dLbls>
          <c:dLblPos val="ctr"/>
          <c:showLegendKey val="0"/>
          <c:showVal val="1"/>
          <c:showCatName val="0"/>
          <c:showSerName val="0"/>
          <c:showPercent val="0"/>
          <c:showBubbleSize val="0"/>
        </c:dLbls>
        <c:gapWidth val="150"/>
        <c:overlap val="100"/>
        <c:axId val="207649408"/>
        <c:axId val="207651200"/>
      </c:barChart>
      <c:catAx>
        <c:axId val="2076494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7651200"/>
        <c:crosses val="autoZero"/>
        <c:auto val="1"/>
        <c:lblAlgn val="ctr"/>
        <c:lblOffset val="100"/>
        <c:noMultiLvlLbl val="0"/>
      </c:catAx>
      <c:valAx>
        <c:axId val="207651200"/>
        <c:scaling>
          <c:orientation val="minMax"/>
        </c:scaling>
        <c:delete val="0"/>
        <c:axPos val="l"/>
        <c:majorGridlines/>
        <c:title>
          <c:tx>
            <c:rich>
              <a:bodyPr rot="0" spcFirstLastPara="0" vertOverflow="ellipsis" vert="wordArtVertRtl" wrap="square" anchor="ctr" anchorCtr="1"/>
              <a:lstStyle/>
              <a:p>
                <a:pPr defTabSz="914400">
                  <a:defRPr lang="zh-CN" sz="1100" b="1" i="0" u="none" strike="noStrike" kern="1200" baseline="0">
                    <a:solidFill>
                      <a:schemeClr val="tx1"/>
                    </a:solidFill>
                    <a:latin typeface="+mn-lt"/>
                    <a:ea typeface="+mn-ea"/>
                    <a:cs typeface="+mn-cs"/>
                  </a:defRPr>
                </a:pPr>
                <a:r>
                  <a:rPr lang="zh-CN" altLang="en-US" sz="1100"/>
                  <a:t>对核心能力重要性的认识程度</a:t>
                </a:r>
              </a:p>
            </c:rich>
          </c:tx>
          <c:layout>
            <c:manualLayout>
              <c:xMode val="edge"/>
              <c:yMode val="edge"/>
              <c:x val="1.6942038495188102E-2"/>
              <c:y val="0.13495370370370371"/>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7649408"/>
        <c:crosses val="autoZero"/>
        <c:crossBetween val="between"/>
      </c:valAx>
    </c:plotArea>
    <c:plotVisOnly val="1"/>
    <c:dispBlanksAs val="gap"/>
    <c:showDLblsOverMax val="0"/>
  </c:chart>
  <c:txPr>
    <a:bodyPr/>
    <a:lstStyle/>
    <a:p>
      <a:pPr>
        <a:defRPr lang="zh-CN"/>
      </a:pPr>
      <a:endParaRPr lang="zh-CN"/>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设计</a:t>
            </a:r>
            <a:r>
              <a:rPr lang="en-US" altLang="zh-CN" sz="1400"/>
              <a:t>/</a:t>
            </a:r>
            <a:r>
              <a:rPr lang="zh-CN" altLang="en-US" sz="1400"/>
              <a:t>开发解决方案</a:t>
            </a:r>
          </a:p>
        </c:rich>
      </c:tx>
      <c:overlay val="0"/>
    </c:title>
    <c:autoTitleDeleted val="0"/>
    <c:plotArea>
      <c:layout>
        <c:manualLayout>
          <c:layoutTarget val="inner"/>
          <c:xMode val="edge"/>
          <c:yMode val="edge"/>
          <c:x val="0.13653018372703413"/>
          <c:y val="0.17732648002333043"/>
          <c:w val="0.73846981627296582"/>
          <c:h val="0.60484179060950705"/>
        </c:manualLayout>
      </c:layout>
      <c:barChart>
        <c:barDir val="col"/>
        <c:grouping val="stacked"/>
        <c:varyColors val="0"/>
        <c:ser>
          <c:idx val="0"/>
          <c:order val="0"/>
          <c:invertIfNegative val="0"/>
          <c:val>
            <c:numRef>
              <c:f>Sheet1!$A$40:$A$44</c:f>
              <c:numCache>
                <c:formatCode>General</c:formatCode>
                <c:ptCount val="5"/>
                <c:pt idx="0">
                  <c:v>0</c:v>
                </c:pt>
                <c:pt idx="1">
                  <c:v>0</c:v>
                </c:pt>
                <c:pt idx="2">
                  <c:v>4</c:v>
                </c:pt>
                <c:pt idx="3">
                  <c:v>4</c:v>
                </c:pt>
                <c:pt idx="4">
                  <c:v>9</c:v>
                </c:pt>
              </c:numCache>
            </c:numRef>
          </c:val>
        </c:ser>
        <c:dLbls>
          <c:dLblPos val="ctr"/>
          <c:showLegendKey val="0"/>
          <c:showVal val="1"/>
          <c:showCatName val="0"/>
          <c:showSerName val="0"/>
          <c:showPercent val="0"/>
          <c:showBubbleSize val="0"/>
        </c:dLbls>
        <c:gapWidth val="150"/>
        <c:overlap val="100"/>
        <c:axId val="207672832"/>
        <c:axId val="207674368"/>
      </c:barChart>
      <c:catAx>
        <c:axId val="207672832"/>
        <c:scaling>
          <c:orientation val="minMax"/>
        </c:scaling>
        <c:delete val="0"/>
        <c:axPos val="b"/>
        <c:majorTickMark val="out"/>
        <c:minorTickMark val="none"/>
        <c:tickLblPos val="nextTo"/>
        <c:crossAx val="207674368"/>
        <c:crosses val="autoZero"/>
        <c:auto val="1"/>
        <c:lblAlgn val="ctr"/>
        <c:lblOffset val="100"/>
        <c:noMultiLvlLbl val="0"/>
      </c:catAx>
      <c:valAx>
        <c:axId val="207674368"/>
        <c:scaling>
          <c:orientation val="minMax"/>
          <c:max val="12"/>
        </c:scaling>
        <c:delete val="0"/>
        <c:axPos val="l"/>
        <c:majorGridlines/>
        <c:title>
          <c:tx>
            <c:rich>
              <a:bodyPr rot="0" vert="wordArtVertRtl"/>
              <a:lstStyle/>
              <a:p>
                <a:pPr>
                  <a:defRPr sz="1100"/>
                </a:pPr>
                <a:r>
                  <a:rPr lang="zh-CN" altLang="en-US" sz="1100"/>
                  <a:t>毕业生的表现</a:t>
                </a:r>
              </a:p>
            </c:rich>
          </c:tx>
          <c:overlay val="0"/>
        </c:title>
        <c:numFmt formatCode="General" sourceLinked="1"/>
        <c:majorTickMark val="out"/>
        <c:minorTickMark val="none"/>
        <c:tickLblPos val="nextTo"/>
        <c:crossAx val="207672832"/>
        <c:crosses val="autoZero"/>
        <c:crossBetween val="between"/>
        <c:majorUnit val="2"/>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设计</a:t>
            </a:r>
            <a:r>
              <a:rPr lang="en-US" altLang="zh-CN" sz="1400"/>
              <a:t>/</a:t>
            </a:r>
            <a:r>
              <a:rPr lang="zh-CN" altLang="en-US" sz="1400"/>
              <a:t>开发解决方案</a:t>
            </a:r>
          </a:p>
        </c:rich>
      </c:tx>
      <c:overlay val="0"/>
    </c:title>
    <c:autoTitleDeleted val="0"/>
    <c:plotArea>
      <c:layout>
        <c:manualLayout>
          <c:layoutTarget val="inner"/>
          <c:xMode val="edge"/>
          <c:yMode val="edge"/>
          <c:x val="0.13653018372703413"/>
          <c:y val="0.17732648002333043"/>
          <c:w val="0.79124759405074352"/>
          <c:h val="0.6094714202391367"/>
        </c:manualLayout>
      </c:layout>
      <c:barChart>
        <c:barDir val="col"/>
        <c:grouping val="stacked"/>
        <c:varyColors val="0"/>
        <c:ser>
          <c:idx val="0"/>
          <c:order val="0"/>
          <c:invertIfNegative val="0"/>
          <c:val>
            <c:numRef>
              <c:f>Sheet1!$I$40:$I$44</c:f>
              <c:numCache>
                <c:formatCode>General</c:formatCode>
                <c:ptCount val="5"/>
                <c:pt idx="0">
                  <c:v>0</c:v>
                </c:pt>
                <c:pt idx="1">
                  <c:v>0</c:v>
                </c:pt>
                <c:pt idx="2">
                  <c:v>2</c:v>
                </c:pt>
                <c:pt idx="3">
                  <c:v>8</c:v>
                </c:pt>
                <c:pt idx="4">
                  <c:v>7</c:v>
                </c:pt>
              </c:numCache>
            </c:numRef>
          </c:val>
        </c:ser>
        <c:dLbls>
          <c:dLblPos val="ctr"/>
          <c:showLegendKey val="0"/>
          <c:showVal val="1"/>
          <c:showCatName val="0"/>
          <c:showSerName val="0"/>
          <c:showPercent val="0"/>
          <c:showBubbleSize val="0"/>
        </c:dLbls>
        <c:gapWidth val="150"/>
        <c:overlap val="100"/>
        <c:axId val="207884672"/>
        <c:axId val="207886208"/>
      </c:barChart>
      <c:catAx>
        <c:axId val="207884672"/>
        <c:scaling>
          <c:orientation val="minMax"/>
        </c:scaling>
        <c:delete val="0"/>
        <c:axPos val="b"/>
        <c:majorTickMark val="out"/>
        <c:minorTickMark val="none"/>
        <c:tickLblPos val="nextTo"/>
        <c:crossAx val="207886208"/>
        <c:crosses val="autoZero"/>
        <c:auto val="1"/>
        <c:lblAlgn val="ctr"/>
        <c:lblOffset val="100"/>
        <c:noMultiLvlLbl val="0"/>
      </c:catAx>
      <c:valAx>
        <c:axId val="207886208"/>
        <c:scaling>
          <c:orientation val="minMax"/>
          <c:max val="12"/>
        </c:scaling>
        <c:delete val="0"/>
        <c:axPos val="l"/>
        <c:majorGridlines/>
        <c:title>
          <c:tx>
            <c:rich>
              <a:bodyPr rot="0" vert="wordArtVertRtl"/>
              <a:lstStyle/>
              <a:p>
                <a:pPr>
                  <a:defRPr sz="1100"/>
                </a:pPr>
                <a:r>
                  <a:rPr lang="zh-CN" altLang="en-US" sz="1100"/>
                  <a:t>对核心能力重要性的认识程度</a:t>
                </a:r>
              </a:p>
            </c:rich>
          </c:tx>
          <c:layout>
            <c:manualLayout>
              <c:xMode val="edge"/>
              <c:yMode val="edge"/>
              <c:x val="2.5000000000000001E-2"/>
              <c:y val="0.10788203557888597"/>
            </c:manualLayout>
          </c:layout>
          <c:overlay val="0"/>
        </c:title>
        <c:numFmt formatCode="General" sourceLinked="1"/>
        <c:majorTickMark val="out"/>
        <c:minorTickMark val="none"/>
        <c:tickLblPos val="nextTo"/>
        <c:crossAx val="207884672"/>
        <c:crosses val="autoZero"/>
        <c:crossBetween val="between"/>
        <c:majorUnit val="2"/>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研究</a:t>
            </a:r>
          </a:p>
        </c:rich>
      </c:tx>
      <c:overlay val="0"/>
    </c:title>
    <c:autoTitleDeleted val="0"/>
    <c:plotArea>
      <c:layout>
        <c:manualLayout>
          <c:layoutTarget val="inner"/>
          <c:xMode val="edge"/>
          <c:yMode val="edge"/>
          <c:x val="0.13653018372703413"/>
          <c:y val="0.17732648002333043"/>
          <c:w val="0.80791426071741024"/>
          <c:h val="0.63724919801691449"/>
        </c:manualLayout>
      </c:layout>
      <c:barChart>
        <c:barDir val="col"/>
        <c:grouping val="stacked"/>
        <c:varyColors val="0"/>
        <c:ser>
          <c:idx val="0"/>
          <c:order val="0"/>
          <c:invertIfNegative val="0"/>
          <c:dLbls>
            <c:dLblPos val="ctr"/>
            <c:showLegendKey val="0"/>
            <c:showVal val="1"/>
            <c:showCatName val="0"/>
            <c:showSerName val="0"/>
            <c:showPercent val="0"/>
            <c:showBubbleSize val="0"/>
            <c:showLeaderLines val="0"/>
          </c:dLbls>
          <c:val>
            <c:numRef>
              <c:f>Sheet1!$A$57:$A$61</c:f>
              <c:numCache>
                <c:formatCode>General</c:formatCode>
                <c:ptCount val="5"/>
                <c:pt idx="0">
                  <c:v>0</c:v>
                </c:pt>
                <c:pt idx="1">
                  <c:v>1</c:v>
                </c:pt>
                <c:pt idx="2">
                  <c:v>4</c:v>
                </c:pt>
                <c:pt idx="3">
                  <c:v>4</c:v>
                </c:pt>
                <c:pt idx="4">
                  <c:v>8</c:v>
                </c:pt>
              </c:numCache>
            </c:numRef>
          </c:val>
        </c:ser>
        <c:dLbls>
          <c:showLegendKey val="0"/>
          <c:showVal val="0"/>
          <c:showCatName val="0"/>
          <c:showSerName val="0"/>
          <c:showPercent val="0"/>
          <c:showBubbleSize val="0"/>
        </c:dLbls>
        <c:gapWidth val="150"/>
        <c:overlap val="100"/>
        <c:axId val="207919744"/>
        <c:axId val="207925632"/>
      </c:barChart>
      <c:catAx>
        <c:axId val="207919744"/>
        <c:scaling>
          <c:orientation val="minMax"/>
        </c:scaling>
        <c:delete val="0"/>
        <c:axPos val="b"/>
        <c:majorTickMark val="out"/>
        <c:minorTickMark val="none"/>
        <c:tickLblPos val="nextTo"/>
        <c:crossAx val="207925632"/>
        <c:crosses val="autoZero"/>
        <c:auto val="1"/>
        <c:lblAlgn val="ctr"/>
        <c:lblOffset val="100"/>
        <c:noMultiLvlLbl val="0"/>
      </c:catAx>
      <c:valAx>
        <c:axId val="207925632"/>
        <c:scaling>
          <c:orientation val="minMax"/>
          <c:max val="12"/>
        </c:scaling>
        <c:delete val="0"/>
        <c:axPos val="l"/>
        <c:majorGridlines/>
        <c:title>
          <c:tx>
            <c:rich>
              <a:bodyPr rot="0" vert="wordArtVertRtl"/>
              <a:lstStyle/>
              <a:p>
                <a:pPr>
                  <a:defRPr sz="1100"/>
                </a:pPr>
                <a:r>
                  <a:rPr lang="zh-CN" altLang="en-US" sz="1100"/>
                  <a:t>毕业生的表现</a:t>
                </a:r>
              </a:p>
            </c:rich>
          </c:tx>
          <c:overlay val="0"/>
        </c:title>
        <c:numFmt formatCode="General" sourceLinked="1"/>
        <c:majorTickMark val="out"/>
        <c:minorTickMark val="none"/>
        <c:tickLblPos val="nextTo"/>
        <c:crossAx val="207919744"/>
        <c:crosses val="autoZero"/>
        <c:crossBetween val="between"/>
        <c:majorUnit val="2"/>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zh-CN" sz="1400" b="1" i="0" baseline="0">
                <a:effectLst/>
              </a:rPr>
              <a:t>研究</a:t>
            </a:r>
            <a:endParaRPr lang="zh-CN" altLang="zh-CN" sz="1400">
              <a:effectLst/>
            </a:endParaRPr>
          </a:p>
        </c:rich>
      </c:tx>
      <c:overlay val="0"/>
    </c:title>
    <c:autoTitleDeleted val="0"/>
    <c:plotArea>
      <c:layout>
        <c:manualLayout>
          <c:layoutTarget val="inner"/>
          <c:xMode val="edge"/>
          <c:yMode val="edge"/>
          <c:x val="0.13653018372703413"/>
          <c:y val="0.17732648002333043"/>
          <c:w val="0.79124759405074352"/>
          <c:h val="0.63261956838728484"/>
        </c:manualLayout>
      </c:layout>
      <c:barChart>
        <c:barDir val="col"/>
        <c:grouping val="stacked"/>
        <c:varyColors val="0"/>
        <c:ser>
          <c:idx val="0"/>
          <c:order val="0"/>
          <c:invertIfNegative val="0"/>
          <c:dLbls>
            <c:dLblPos val="ctr"/>
            <c:showLegendKey val="0"/>
            <c:showVal val="1"/>
            <c:showCatName val="0"/>
            <c:showSerName val="0"/>
            <c:showPercent val="0"/>
            <c:showBubbleSize val="0"/>
            <c:showLeaderLines val="0"/>
          </c:dLbls>
          <c:val>
            <c:numRef>
              <c:f>Sheet1!$I$57:$I$61</c:f>
              <c:numCache>
                <c:formatCode>General</c:formatCode>
                <c:ptCount val="5"/>
                <c:pt idx="0">
                  <c:v>0</c:v>
                </c:pt>
                <c:pt idx="1">
                  <c:v>0</c:v>
                </c:pt>
                <c:pt idx="2">
                  <c:v>2</c:v>
                </c:pt>
                <c:pt idx="3">
                  <c:v>4</c:v>
                </c:pt>
                <c:pt idx="4">
                  <c:v>11</c:v>
                </c:pt>
              </c:numCache>
            </c:numRef>
          </c:val>
        </c:ser>
        <c:dLbls>
          <c:showLegendKey val="0"/>
          <c:showVal val="0"/>
          <c:showCatName val="0"/>
          <c:showSerName val="0"/>
          <c:showPercent val="0"/>
          <c:showBubbleSize val="0"/>
        </c:dLbls>
        <c:gapWidth val="150"/>
        <c:overlap val="100"/>
        <c:axId val="208016512"/>
        <c:axId val="208018048"/>
      </c:barChart>
      <c:catAx>
        <c:axId val="208016512"/>
        <c:scaling>
          <c:orientation val="minMax"/>
        </c:scaling>
        <c:delete val="0"/>
        <c:axPos val="b"/>
        <c:majorTickMark val="out"/>
        <c:minorTickMark val="none"/>
        <c:tickLblPos val="nextTo"/>
        <c:crossAx val="208018048"/>
        <c:crosses val="autoZero"/>
        <c:auto val="1"/>
        <c:lblAlgn val="ctr"/>
        <c:lblOffset val="100"/>
        <c:noMultiLvlLbl val="0"/>
      </c:catAx>
      <c:valAx>
        <c:axId val="208018048"/>
        <c:scaling>
          <c:orientation val="minMax"/>
        </c:scaling>
        <c:delete val="0"/>
        <c:axPos val="l"/>
        <c:majorGridlines/>
        <c:title>
          <c:tx>
            <c:rich>
              <a:bodyPr rot="0" vert="wordArtVertRtl"/>
              <a:lstStyle/>
              <a:p>
                <a:pPr>
                  <a:defRPr sz="1100"/>
                </a:pPr>
                <a:r>
                  <a:rPr lang="zh-CN" altLang="en-US" sz="1100"/>
                  <a:t>对核心能力重要性的认识程度</a:t>
                </a:r>
              </a:p>
            </c:rich>
          </c:tx>
          <c:layout>
            <c:manualLayout>
              <c:xMode val="edge"/>
              <c:yMode val="edge"/>
              <c:x val="3.0555555555555555E-2"/>
              <c:y val="9.8622776319626709E-2"/>
            </c:manualLayout>
          </c:layout>
          <c:overlay val="0"/>
        </c:title>
        <c:numFmt formatCode="General" sourceLinked="1"/>
        <c:majorTickMark val="out"/>
        <c:minorTickMark val="none"/>
        <c:tickLblPos val="nextTo"/>
        <c:crossAx val="208016512"/>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使用现代工具</a:t>
            </a:r>
          </a:p>
        </c:rich>
      </c:tx>
      <c:overlay val="0"/>
    </c:title>
    <c:autoTitleDeleted val="0"/>
    <c:plotArea>
      <c:layout>
        <c:manualLayout>
          <c:layoutTarget val="inner"/>
          <c:xMode val="edge"/>
          <c:yMode val="edge"/>
          <c:x val="0.13653018372703413"/>
          <c:y val="0.17732648002333043"/>
          <c:w val="0.79958092738407693"/>
          <c:h val="0.618730679498396"/>
        </c:manualLayout>
      </c:layout>
      <c:barChart>
        <c:barDir val="col"/>
        <c:grouping val="stacked"/>
        <c:varyColors val="0"/>
        <c:ser>
          <c:idx val="0"/>
          <c:order val="0"/>
          <c:invertIfNegative val="0"/>
          <c:val>
            <c:numRef>
              <c:f>Sheet1!$A$74:$A$78</c:f>
              <c:numCache>
                <c:formatCode>General</c:formatCode>
                <c:ptCount val="5"/>
                <c:pt idx="0">
                  <c:v>0</c:v>
                </c:pt>
                <c:pt idx="1">
                  <c:v>0</c:v>
                </c:pt>
                <c:pt idx="2">
                  <c:v>5</c:v>
                </c:pt>
                <c:pt idx="3">
                  <c:v>4</c:v>
                </c:pt>
                <c:pt idx="4">
                  <c:v>8</c:v>
                </c:pt>
              </c:numCache>
            </c:numRef>
          </c:val>
        </c:ser>
        <c:dLbls>
          <c:dLblPos val="ctr"/>
          <c:showLegendKey val="0"/>
          <c:showVal val="1"/>
          <c:showCatName val="0"/>
          <c:showSerName val="0"/>
          <c:showPercent val="0"/>
          <c:showBubbleSize val="0"/>
        </c:dLbls>
        <c:gapWidth val="150"/>
        <c:overlap val="100"/>
        <c:axId val="208052608"/>
        <c:axId val="208054144"/>
      </c:barChart>
      <c:catAx>
        <c:axId val="208052608"/>
        <c:scaling>
          <c:orientation val="minMax"/>
        </c:scaling>
        <c:delete val="0"/>
        <c:axPos val="b"/>
        <c:majorTickMark val="out"/>
        <c:minorTickMark val="none"/>
        <c:tickLblPos val="nextTo"/>
        <c:crossAx val="208054144"/>
        <c:crosses val="autoZero"/>
        <c:auto val="1"/>
        <c:lblAlgn val="ctr"/>
        <c:lblOffset val="100"/>
        <c:noMultiLvlLbl val="0"/>
      </c:catAx>
      <c:valAx>
        <c:axId val="208054144"/>
        <c:scaling>
          <c:orientation val="minMax"/>
          <c:max val="12"/>
        </c:scaling>
        <c:delete val="0"/>
        <c:axPos val="l"/>
        <c:majorGridlines/>
        <c:title>
          <c:tx>
            <c:rich>
              <a:bodyPr rot="0" vert="wordArtVertRtl"/>
              <a:lstStyle/>
              <a:p>
                <a:pPr>
                  <a:defRPr sz="1100"/>
                </a:pPr>
                <a:r>
                  <a:rPr lang="zh-CN" altLang="en-US" sz="1100"/>
                  <a:t>毕业生的表现</a:t>
                </a:r>
              </a:p>
            </c:rich>
          </c:tx>
          <c:overlay val="0"/>
        </c:title>
        <c:numFmt formatCode="General" sourceLinked="1"/>
        <c:majorTickMark val="out"/>
        <c:minorTickMark val="none"/>
        <c:tickLblPos val="nextTo"/>
        <c:crossAx val="208052608"/>
        <c:crosses val="autoZero"/>
        <c:crossBetween val="between"/>
        <c:majorUnit val="2"/>
      </c:valAx>
    </c:plotArea>
    <c:plotVisOnly val="1"/>
    <c:dispBlanksAs val="gap"/>
    <c:showDLblsOverMax val="0"/>
  </c:chart>
  <c:externalData r:id="rId1">
    <c:autoUpdate val="0"/>
  </c:externalData>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0.05278</cdr:x>
      <cdr:y>0.85185</cdr:y>
    </cdr:from>
    <cdr:to>
      <cdr:x>0.94236</cdr:x>
      <cdr:y>0.9456</cdr:y>
    </cdr:to>
    <cdr:sp macro="" textlink="">
      <cdr:nvSpPr>
        <cdr:cNvPr id="2" name="矩形 1"/>
        <cdr:cNvSpPr/>
      </cdr:nvSpPr>
      <cdr:spPr>
        <a:xfrm xmlns:a="http://schemas.openxmlformats.org/drawingml/2006/main">
          <a:off x="241300" y="2336800"/>
          <a:ext cx="4067176" cy="2571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0.xml><?xml version="1.0" encoding="utf-8"?>
<c:userShapes xmlns:c="http://schemas.openxmlformats.org/drawingml/2006/chart">
  <cdr:relSizeAnchor xmlns:cdr="http://schemas.openxmlformats.org/drawingml/2006/chartDrawing">
    <cdr:from>
      <cdr:x>0.06042</cdr:x>
      <cdr:y>0.8831</cdr:y>
    </cdr:from>
    <cdr:to>
      <cdr:x>1</cdr:x>
      <cdr:y>0.97685</cdr:y>
    </cdr:to>
    <cdr:sp macro="" textlink="">
      <cdr:nvSpPr>
        <cdr:cNvPr id="2" name="矩形 1"/>
        <cdr:cNvSpPr/>
      </cdr:nvSpPr>
      <cdr:spPr>
        <a:xfrm xmlns:a="http://schemas.openxmlformats.org/drawingml/2006/main">
          <a:off x="276225" y="242252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1.xml><?xml version="1.0" encoding="utf-8"?>
<c:userShapes xmlns:c="http://schemas.openxmlformats.org/drawingml/2006/chart">
  <cdr:relSizeAnchor xmlns:cdr="http://schemas.openxmlformats.org/drawingml/2006/chartDrawing">
    <cdr:from>
      <cdr:x>0.06042</cdr:x>
      <cdr:y>0.87269</cdr:y>
    </cdr:from>
    <cdr:to>
      <cdr:x>1</cdr:x>
      <cdr:y>0.96644</cdr:y>
    </cdr:to>
    <cdr:sp macro="" textlink="">
      <cdr:nvSpPr>
        <cdr:cNvPr id="2" name="矩形 1"/>
        <cdr:cNvSpPr/>
      </cdr:nvSpPr>
      <cdr:spPr>
        <a:xfrm xmlns:a="http://schemas.openxmlformats.org/drawingml/2006/main">
          <a:off x="276225" y="2393950"/>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2.xml><?xml version="1.0" encoding="utf-8"?>
<c:userShapes xmlns:c="http://schemas.openxmlformats.org/drawingml/2006/chart">
  <cdr:relSizeAnchor xmlns:cdr="http://schemas.openxmlformats.org/drawingml/2006/chartDrawing">
    <cdr:from>
      <cdr:x>0.06042</cdr:x>
      <cdr:y>0.88852</cdr:y>
    </cdr:from>
    <cdr:to>
      <cdr:x>1</cdr:x>
      <cdr:y>0.97927</cdr:y>
    </cdr:to>
    <cdr:sp macro="" textlink="">
      <cdr:nvSpPr>
        <cdr:cNvPr id="2" name="矩形 1"/>
        <cdr:cNvSpPr/>
      </cdr:nvSpPr>
      <cdr:spPr>
        <a:xfrm xmlns:a="http://schemas.openxmlformats.org/drawingml/2006/main">
          <a:off x="276225" y="251777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3.xml><?xml version="1.0" encoding="utf-8"?>
<c:userShapes xmlns:c="http://schemas.openxmlformats.org/drawingml/2006/chart">
  <cdr:relSizeAnchor xmlns:cdr="http://schemas.openxmlformats.org/drawingml/2006/chartDrawing">
    <cdr:from>
      <cdr:x>0.06042</cdr:x>
      <cdr:y>0.90625</cdr:y>
    </cdr:from>
    <cdr:to>
      <cdr:x>1</cdr:x>
      <cdr:y>1</cdr:y>
    </cdr:to>
    <cdr:sp macro="" textlink="">
      <cdr:nvSpPr>
        <cdr:cNvPr id="3" name="矩形 2"/>
        <cdr:cNvSpPr/>
      </cdr:nvSpPr>
      <cdr:spPr>
        <a:xfrm xmlns:a="http://schemas.openxmlformats.org/drawingml/2006/main">
          <a:off x="276225" y="248602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4.xml><?xml version="1.0" encoding="utf-8"?>
<c:userShapes xmlns:c="http://schemas.openxmlformats.org/drawingml/2006/chart">
  <cdr:relSizeAnchor xmlns:cdr="http://schemas.openxmlformats.org/drawingml/2006/chartDrawing">
    <cdr:from>
      <cdr:x>0.06042</cdr:x>
      <cdr:y>0.89005</cdr:y>
    </cdr:from>
    <cdr:to>
      <cdr:x>1</cdr:x>
      <cdr:y>0.9838</cdr:y>
    </cdr:to>
    <cdr:sp macro="" textlink="">
      <cdr:nvSpPr>
        <cdr:cNvPr id="2" name="矩形 1"/>
        <cdr:cNvSpPr/>
      </cdr:nvSpPr>
      <cdr:spPr>
        <a:xfrm xmlns:a="http://schemas.openxmlformats.org/drawingml/2006/main">
          <a:off x="276225" y="244157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5.xml><?xml version="1.0" encoding="utf-8"?>
<c:userShapes xmlns:c="http://schemas.openxmlformats.org/drawingml/2006/chart">
  <cdr:relSizeAnchor xmlns:cdr="http://schemas.openxmlformats.org/drawingml/2006/chartDrawing">
    <cdr:from>
      <cdr:x>0.06042</cdr:x>
      <cdr:y>0.90625</cdr:y>
    </cdr:from>
    <cdr:to>
      <cdr:x>1</cdr:x>
      <cdr:y>1</cdr:y>
    </cdr:to>
    <cdr:sp macro="" textlink="">
      <cdr:nvSpPr>
        <cdr:cNvPr id="2" name="矩形 1"/>
        <cdr:cNvSpPr/>
      </cdr:nvSpPr>
      <cdr:spPr>
        <a:xfrm xmlns:a="http://schemas.openxmlformats.org/drawingml/2006/main">
          <a:off x="276225" y="248602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6.xml><?xml version="1.0" encoding="utf-8"?>
<c:userShapes xmlns:c="http://schemas.openxmlformats.org/drawingml/2006/chart">
  <cdr:relSizeAnchor xmlns:cdr="http://schemas.openxmlformats.org/drawingml/2006/chartDrawing">
    <cdr:from>
      <cdr:x>0.06042</cdr:x>
      <cdr:y>0.89005</cdr:y>
    </cdr:from>
    <cdr:to>
      <cdr:x>1</cdr:x>
      <cdr:y>0.9838</cdr:y>
    </cdr:to>
    <cdr:sp macro="" textlink="">
      <cdr:nvSpPr>
        <cdr:cNvPr id="2" name="矩形 1"/>
        <cdr:cNvSpPr/>
      </cdr:nvSpPr>
      <cdr:spPr>
        <a:xfrm xmlns:a="http://schemas.openxmlformats.org/drawingml/2006/main">
          <a:off x="276225" y="244157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7.xml><?xml version="1.0" encoding="utf-8"?>
<c:userShapes xmlns:c="http://schemas.openxmlformats.org/drawingml/2006/chart">
  <cdr:relSizeAnchor xmlns:cdr="http://schemas.openxmlformats.org/drawingml/2006/chartDrawing">
    <cdr:from>
      <cdr:x>0.06042</cdr:x>
      <cdr:y>0.89005</cdr:y>
    </cdr:from>
    <cdr:to>
      <cdr:x>1</cdr:x>
      <cdr:y>0.9838</cdr:y>
    </cdr:to>
    <cdr:sp macro="" textlink="">
      <cdr:nvSpPr>
        <cdr:cNvPr id="2" name="矩形 1"/>
        <cdr:cNvSpPr/>
      </cdr:nvSpPr>
      <cdr:spPr>
        <a:xfrm xmlns:a="http://schemas.openxmlformats.org/drawingml/2006/main">
          <a:off x="276225" y="244157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8.xml><?xml version="1.0" encoding="utf-8"?>
<c:userShapes xmlns:c="http://schemas.openxmlformats.org/drawingml/2006/chart">
  <cdr:relSizeAnchor xmlns:cdr="http://schemas.openxmlformats.org/drawingml/2006/chartDrawing">
    <cdr:from>
      <cdr:x>0.05462</cdr:x>
      <cdr:y>0.90657</cdr:y>
    </cdr:from>
    <cdr:to>
      <cdr:x>1</cdr:x>
      <cdr:y>1</cdr:y>
    </cdr:to>
    <cdr:sp macro="" textlink="">
      <cdr:nvSpPr>
        <cdr:cNvPr id="2" name="矩形 1"/>
        <cdr:cNvSpPr/>
      </cdr:nvSpPr>
      <cdr:spPr>
        <a:xfrm xmlns:a="http://schemas.openxmlformats.org/drawingml/2006/main">
          <a:off x="252845" y="2560291"/>
          <a:ext cx="4376305" cy="2638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19.xml><?xml version="1.0" encoding="utf-8"?>
<c:userShapes xmlns:c="http://schemas.openxmlformats.org/drawingml/2006/chart">
  <cdr:relSizeAnchor xmlns:cdr="http://schemas.openxmlformats.org/drawingml/2006/chartDrawing">
    <cdr:from>
      <cdr:x>0.0428</cdr:x>
      <cdr:y>0.90046</cdr:y>
    </cdr:from>
    <cdr:to>
      <cdr:x>1</cdr:x>
      <cdr:y>0.99665</cdr:y>
    </cdr:to>
    <cdr:sp macro="" textlink="">
      <cdr:nvSpPr>
        <cdr:cNvPr id="2" name="矩形 1"/>
        <cdr:cNvSpPr/>
      </cdr:nvSpPr>
      <cdr:spPr>
        <a:xfrm xmlns:a="http://schemas.openxmlformats.org/drawingml/2006/main">
          <a:off x="195695" y="2470150"/>
          <a:ext cx="4376305" cy="2638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2.xml><?xml version="1.0" encoding="utf-8"?>
<c:userShapes xmlns:c="http://schemas.openxmlformats.org/drawingml/2006/chart">
  <cdr:relSizeAnchor xmlns:cdr="http://schemas.openxmlformats.org/drawingml/2006/chartDrawing">
    <cdr:from>
      <cdr:x>0.08448</cdr:x>
      <cdr:y>0.87163</cdr:y>
    </cdr:from>
    <cdr:to>
      <cdr:x>0.92338</cdr:x>
      <cdr:y>0.95721</cdr:y>
    </cdr:to>
    <cdr:sp macro="" textlink="">
      <cdr:nvSpPr>
        <cdr:cNvPr id="2" name="矩形 1"/>
        <cdr:cNvSpPr/>
      </cdr:nvSpPr>
      <cdr:spPr>
        <a:xfrm xmlns:a="http://schemas.openxmlformats.org/drawingml/2006/main">
          <a:off x="409575" y="2619375"/>
          <a:ext cx="40671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b="1"/>
            <a:t> 非常不认同     基本不认同    一般认同     基本认同     非常认同</a:t>
          </a:r>
        </a:p>
      </cdr:txBody>
    </cdr:sp>
  </cdr:relSizeAnchor>
</c:userShapes>
</file>

<file path=word/drawings/drawing20.xml><?xml version="1.0" encoding="utf-8"?>
<c:userShapes xmlns:c="http://schemas.openxmlformats.org/drawingml/2006/chart">
  <cdr:relSizeAnchor xmlns:cdr="http://schemas.openxmlformats.org/drawingml/2006/chartDrawing">
    <cdr:from>
      <cdr:x>0.04677</cdr:x>
      <cdr:y>0.90781</cdr:y>
    </cdr:from>
    <cdr:to>
      <cdr:x>1</cdr:x>
      <cdr:y>1</cdr:y>
    </cdr:to>
    <cdr:sp macro="" textlink="">
      <cdr:nvSpPr>
        <cdr:cNvPr id="2" name="矩形 1"/>
        <cdr:cNvSpPr/>
      </cdr:nvSpPr>
      <cdr:spPr>
        <a:xfrm xmlns:a="http://schemas.openxmlformats.org/drawingml/2006/main">
          <a:off x="214745" y="2598390"/>
          <a:ext cx="4376305" cy="2638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21.xml><?xml version="1.0" encoding="utf-8"?>
<c:userShapes xmlns:c="http://schemas.openxmlformats.org/drawingml/2006/chart">
  <cdr:relSizeAnchor xmlns:cdr="http://schemas.openxmlformats.org/drawingml/2006/chartDrawing">
    <cdr:from>
      <cdr:x>0.0428</cdr:x>
      <cdr:y>0.89005</cdr:y>
    </cdr:from>
    <cdr:to>
      <cdr:x>1</cdr:x>
      <cdr:y>0.98624</cdr:y>
    </cdr:to>
    <cdr:sp macro="" textlink="">
      <cdr:nvSpPr>
        <cdr:cNvPr id="2" name="矩形 1"/>
        <cdr:cNvSpPr/>
      </cdr:nvSpPr>
      <cdr:spPr>
        <a:xfrm xmlns:a="http://schemas.openxmlformats.org/drawingml/2006/main">
          <a:off x="195695" y="2441575"/>
          <a:ext cx="4376305" cy="2638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22.xml><?xml version="1.0" encoding="utf-8"?>
<c:userShapes xmlns:c="http://schemas.openxmlformats.org/drawingml/2006/chart">
  <cdr:relSizeAnchor xmlns:cdr="http://schemas.openxmlformats.org/drawingml/2006/chartDrawing">
    <cdr:from>
      <cdr:x>0.05656</cdr:x>
      <cdr:y>0.90532</cdr:y>
    </cdr:from>
    <cdr:to>
      <cdr:x>1</cdr:x>
      <cdr:y>0.99844</cdr:y>
    </cdr:to>
    <cdr:sp macro="" textlink="">
      <cdr:nvSpPr>
        <cdr:cNvPr id="2" name="矩形 1"/>
        <cdr:cNvSpPr/>
      </cdr:nvSpPr>
      <cdr:spPr>
        <a:xfrm xmlns:a="http://schemas.openxmlformats.org/drawingml/2006/main">
          <a:off x="262370" y="2565400"/>
          <a:ext cx="4376305" cy="2638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23.xml><?xml version="1.0" encoding="utf-8"?>
<c:userShapes xmlns:c="http://schemas.openxmlformats.org/drawingml/2006/chart">
  <cdr:relSizeAnchor xmlns:cdr="http://schemas.openxmlformats.org/drawingml/2006/chartDrawing">
    <cdr:from>
      <cdr:x>0.0428</cdr:x>
      <cdr:y>0.89699</cdr:y>
    </cdr:from>
    <cdr:to>
      <cdr:x>1</cdr:x>
      <cdr:y>0.99318</cdr:y>
    </cdr:to>
    <cdr:sp macro="" textlink="">
      <cdr:nvSpPr>
        <cdr:cNvPr id="2" name="矩形 1"/>
        <cdr:cNvSpPr/>
      </cdr:nvSpPr>
      <cdr:spPr>
        <a:xfrm xmlns:a="http://schemas.openxmlformats.org/drawingml/2006/main">
          <a:off x="195695" y="2460625"/>
          <a:ext cx="4376305" cy="2638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24.xml><?xml version="1.0" encoding="utf-8"?>
<c:userShapes xmlns:c="http://schemas.openxmlformats.org/drawingml/2006/chart">
  <cdr:relSizeAnchor xmlns:cdr="http://schemas.openxmlformats.org/drawingml/2006/chartDrawing">
    <cdr:from>
      <cdr:x>0.04677</cdr:x>
      <cdr:y>0.90932</cdr:y>
    </cdr:from>
    <cdr:to>
      <cdr:x>1</cdr:x>
      <cdr:y>1</cdr:y>
    </cdr:to>
    <cdr:sp macro="" textlink="">
      <cdr:nvSpPr>
        <cdr:cNvPr id="2" name="矩形 1"/>
        <cdr:cNvSpPr/>
      </cdr:nvSpPr>
      <cdr:spPr>
        <a:xfrm xmlns:a="http://schemas.openxmlformats.org/drawingml/2006/main">
          <a:off x="214745" y="2646015"/>
          <a:ext cx="4376305" cy="2638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3.xml><?xml version="1.0" encoding="utf-8"?>
<c:userShapes xmlns:c="http://schemas.openxmlformats.org/drawingml/2006/chart">
  <cdr:relSizeAnchor xmlns:cdr="http://schemas.openxmlformats.org/drawingml/2006/chartDrawing">
    <cdr:from>
      <cdr:x>0.0722</cdr:x>
      <cdr:y>0.91085</cdr:y>
    </cdr:from>
    <cdr:to>
      <cdr:x>0.94781</cdr:x>
      <cdr:y>1</cdr:y>
    </cdr:to>
    <cdr:sp macro="" textlink="">
      <cdr:nvSpPr>
        <cdr:cNvPr id="2" name="矩形 1"/>
        <cdr:cNvSpPr/>
      </cdr:nvSpPr>
      <cdr:spPr>
        <a:xfrm xmlns:a="http://schemas.openxmlformats.org/drawingml/2006/main">
          <a:off x="330116" y="2498655"/>
          <a:ext cx="4003251" cy="2445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zh-CN" altLang="en-US"/>
        </a:p>
      </cdr:txBody>
    </cdr:sp>
  </cdr:relSizeAnchor>
  <cdr:relSizeAnchor xmlns:cdr="http://schemas.openxmlformats.org/drawingml/2006/chartDrawing">
    <cdr:from>
      <cdr:x>0.09634</cdr:x>
      <cdr:y>0.87147</cdr:y>
    </cdr:from>
    <cdr:to>
      <cdr:x>0.94575</cdr:x>
      <cdr:y>0.98259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54223" y="2423822"/>
          <a:ext cx="4004848" cy="309059"/>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0.08448</cdr:x>
      <cdr:y>0.87163</cdr:y>
    </cdr:from>
    <cdr:to>
      <cdr:x>0.92338</cdr:x>
      <cdr:y>0.95721</cdr:y>
    </cdr:to>
    <cdr:sp macro="" textlink="">
      <cdr:nvSpPr>
        <cdr:cNvPr id="2" name="矩形 1"/>
        <cdr:cNvSpPr/>
      </cdr:nvSpPr>
      <cdr:spPr>
        <a:xfrm xmlns:a="http://schemas.openxmlformats.org/drawingml/2006/main">
          <a:off x="409575" y="2619375"/>
          <a:ext cx="40671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b="1"/>
            <a:t> 非常不认同     基本不认同    一般认同     基本认同     非常认同</a:t>
          </a:r>
        </a:p>
      </cdr:txBody>
    </cdr:sp>
  </cdr:relSizeAnchor>
</c:userShapes>
</file>

<file path=word/drawings/drawing5.xml><?xml version="1.0" encoding="utf-8"?>
<c:userShapes xmlns:c="http://schemas.openxmlformats.org/drawingml/2006/chart">
  <cdr:relSizeAnchor xmlns:cdr="http://schemas.openxmlformats.org/drawingml/2006/chartDrawing">
    <cdr:from>
      <cdr:x>0.025</cdr:x>
      <cdr:y>0.86921</cdr:y>
    </cdr:from>
    <cdr:to>
      <cdr:x>0.96458</cdr:x>
      <cdr:y>0.96296</cdr:y>
    </cdr:to>
    <cdr:sp macro="" textlink="">
      <cdr:nvSpPr>
        <cdr:cNvPr id="3" name="矩形 2"/>
        <cdr:cNvSpPr/>
      </cdr:nvSpPr>
      <cdr:spPr>
        <a:xfrm xmlns:a="http://schemas.openxmlformats.org/drawingml/2006/main">
          <a:off x="114300" y="238442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6.xml><?xml version="1.0" encoding="utf-8"?>
<c:userShapes xmlns:c="http://schemas.openxmlformats.org/drawingml/2006/chart">
  <cdr:relSizeAnchor xmlns:cdr="http://schemas.openxmlformats.org/drawingml/2006/chartDrawing">
    <cdr:from>
      <cdr:x>0.07917</cdr:x>
      <cdr:y>0.86921</cdr:y>
    </cdr:from>
    <cdr:to>
      <cdr:x>1</cdr:x>
      <cdr:y>0.96296</cdr:y>
    </cdr:to>
    <cdr:sp macro="" textlink="">
      <cdr:nvSpPr>
        <cdr:cNvPr id="2" name="矩形 1"/>
        <cdr:cNvSpPr/>
      </cdr:nvSpPr>
      <cdr:spPr>
        <a:xfrm xmlns:a="http://schemas.openxmlformats.org/drawingml/2006/main">
          <a:off x="361950" y="2384425"/>
          <a:ext cx="42100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7.xml><?xml version="1.0" encoding="utf-8"?>
<c:userShapes xmlns:c="http://schemas.openxmlformats.org/drawingml/2006/chart">
  <cdr:relSizeAnchor xmlns:cdr="http://schemas.openxmlformats.org/drawingml/2006/chartDrawing">
    <cdr:from>
      <cdr:x>0.06042</cdr:x>
      <cdr:y>0.8831</cdr:y>
    </cdr:from>
    <cdr:to>
      <cdr:x>1</cdr:x>
      <cdr:y>0.97685</cdr:y>
    </cdr:to>
    <cdr:sp macro="" textlink="">
      <cdr:nvSpPr>
        <cdr:cNvPr id="2" name="矩形 1"/>
        <cdr:cNvSpPr/>
      </cdr:nvSpPr>
      <cdr:spPr>
        <a:xfrm xmlns:a="http://schemas.openxmlformats.org/drawingml/2006/main">
          <a:off x="276225" y="242252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8.xml><?xml version="1.0" encoding="utf-8"?>
<c:userShapes xmlns:c="http://schemas.openxmlformats.org/drawingml/2006/chart">
  <cdr:relSizeAnchor xmlns:cdr="http://schemas.openxmlformats.org/drawingml/2006/chartDrawing">
    <cdr:from>
      <cdr:x>0.06042</cdr:x>
      <cdr:y>0.8831</cdr:y>
    </cdr:from>
    <cdr:to>
      <cdr:x>1</cdr:x>
      <cdr:y>0.97685</cdr:y>
    </cdr:to>
    <cdr:sp macro="" textlink="">
      <cdr:nvSpPr>
        <cdr:cNvPr id="2" name="矩形 1"/>
        <cdr:cNvSpPr/>
      </cdr:nvSpPr>
      <cdr:spPr>
        <a:xfrm xmlns:a="http://schemas.openxmlformats.org/drawingml/2006/main">
          <a:off x="276225" y="2422525"/>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drawings/drawing9.xml><?xml version="1.0" encoding="utf-8"?>
<c:userShapes xmlns:c="http://schemas.openxmlformats.org/drawingml/2006/chart">
  <cdr:relSizeAnchor xmlns:cdr="http://schemas.openxmlformats.org/drawingml/2006/chartDrawing">
    <cdr:from>
      <cdr:x>0.04236</cdr:x>
      <cdr:y>0.87269</cdr:y>
    </cdr:from>
    <cdr:to>
      <cdr:x>0.98194</cdr:x>
      <cdr:y>0.96644</cdr:y>
    </cdr:to>
    <cdr:sp macro="" textlink="">
      <cdr:nvSpPr>
        <cdr:cNvPr id="2" name="矩形 1"/>
        <cdr:cNvSpPr/>
      </cdr:nvSpPr>
      <cdr:spPr>
        <a:xfrm xmlns:a="http://schemas.openxmlformats.org/drawingml/2006/main">
          <a:off x="193675" y="2393950"/>
          <a:ext cx="42957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100" b="1"/>
            <a:t>      非常不认同     基本不认同    一般认同     基本认同     非常认同</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27</Words>
  <Characters>155</Characters>
  <Application>Microsoft Office Word</Application>
  <DocSecurity>0</DocSecurity>
  <Lines>1</Lines>
  <Paragraphs>1</Paragraphs>
  <ScaleCrop>false</ScaleCrop>
  <Company>微软中国</Company>
  <LinksUpToDate>false</LinksUpToDate>
  <CharactersWithSpaces>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2017-03-29T07:52:00Z</dcterms:created>
  <dcterms:modified xsi:type="dcterms:W3CDTF">2017-03-29T08:04:00Z</dcterms:modified>
</cp:coreProperties>
</file>